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C8FB3" w14:textId="679ABE0E" w:rsidR="00CA2BB3" w:rsidRPr="00CA2BB3" w:rsidRDefault="00C95645" w:rsidP="00CA2BB3">
      <w:pPr>
        <w:jc w:val="center"/>
        <w:rPr>
          <w:b/>
          <w:sz w:val="28"/>
          <w:szCs w:val="28"/>
        </w:rPr>
      </w:pPr>
      <w:r w:rsidRPr="00C95645">
        <w:rPr>
          <w:b/>
          <w:sz w:val="28"/>
          <w:szCs w:val="28"/>
        </w:rPr>
        <w:t>Tantárgyi tematika és félévi követelményrendszer</w:t>
      </w:r>
    </w:p>
    <w:p w14:paraId="742188EF" w14:textId="77777777" w:rsidR="00CA2BB3" w:rsidRPr="00CA2BB3" w:rsidRDefault="00CA2BB3" w:rsidP="00CA2BB3">
      <w:pPr>
        <w:rPr>
          <w:b/>
          <w:sz w:val="28"/>
          <w:szCs w:val="28"/>
        </w:rPr>
      </w:pPr>
    </w:p>
    <w:p w14:paraId="570DB165" w14:textId="7451B826" w:rsidR="005502A0" w:rsidRPr="00CA2BB3" w:rsidRDefault="00C95645" w:rsidP="00CA2BB3">
      <w:pPr>
        <w:jc w:val="center"/>
        <w:rPr>
          <w:sz w:val="28"/>
          <w:szCs w:val="28"/>
        </w:rPr>
      </w:pPr>
      <w:r w:rsidRPr="00C95645">
        <w:rPr>
          <w:b/>
          <w:sz w:val="28"/>
          <w:szCs w:val="28"/>
        </w:rPr>
        <w:t>Befektetések elemzése</w:t>
      </w:r>
    </w:p>
    <w:p w14:paraId="32D80245" w14:textId="77777777" w:rsidR="00A573A6" w:rsidRDefault="00A573A6" w:rsidP="00A573A6">
      <w:pPr>
        <w:rPr>
          <w:sz w:val="28"/>
          <w:szCs w:val="28"/>
        </w:rPr>
      </w:pPr>
    </w:p>
    <w:p w14:paraId="408FF4E9" w14:textId="6DB3658F" w:rsidR="00A67DBE" w:rsidRDefault="00A67DBE" w:rsidP="00A67DBE">
      <w:pPr>
        <w:jc w:val="center"/>
        <w:rPr>
          <w:sz w:val="28"/>
          <w:szCs w:val="28"/>
        </w:rPr>
      </w:pPr>
      <w:r w:rsidRPr="00A67DBE">
        <w:rPr>
          <w:sz w:val="28"/>
          <w:szCs w:val="28"/>
        </w:rPr>
        <w:t>NAPPALI TAGOZAT</w:t>
      </w:r>
      <w:bookmarkStart w:id="0" w:name="_GoBack"/>
      <w:bookmarkEnd w:id="0"/>
    </w:p>
    <w:p w14:paraId="1F3A474A" w14:textId="1CFF3B2A" w:rsidR="00042EE9" w:rsidRPr="00A67DBE" w:rsidRDefault="00A67DBE" w:rsidP="00A67DBE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Tantárgy kódja: </w:t>
      </w:r>
      <w:r w:rsidRPr="00A67DBE">
        <w:rPr>
          <w:sz w:val="22"/>
          <w:szCs w:val="22"/>
        </w:rPr>
        <w:t>GZB2676</w:t>
      </w:r>
    </w:p>
    <w:p w14:paraId="367A1732" w14:textId="77777777" w:rsidR="00C95645" w:rsidRDefault="00C95645" w:rsidP="00C95645">
      <w:pPr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086A67" w:rsidRPr="000338D7" w14:paraId="3A136CA1" w14:textId="77777777" w:rsidTr="00CA2BB3">
        <w:trPr>
          <w:trHeight w:val="454"/>
        </w:trPr>
        <w:tc>
          <w:tcPr>
            <w:tcW w:w="1838" w:type="dxa"/>
          </w:tcPr>
          <w:p w14:paraId="4B08D423" w14:textId="77777777" w:rsidR="00086A67" w:rsidRPr="000338D7" w:rsidRDefault="00086A67" w:rsidP="004801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Oktatási hét</w:t>
            </w:r>
          </w:p>
        </w:tc>
        <w:tc>
          <w:tcPr>
            <w:tcW w:w="7229" w:type="dxa"/>
          </w:tcPr>
          <w:p w14:paraId="2CBF1849" w14:textId="7064A22C" w:rsidR="00086A67" w:rsidRPr="000338D7" w:rsidRDefault="00086A67" w:rsidP="004801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Gyakorlat</w:t>
            </w:r>
          </w:p>
        </w:tc>
      </w:tr>
      <w:tr w:rsidR="00CD685B" w:rsidRPr="000338D7" w14:paraId="7B00C6F2" w14:textId="77777777" w:rsidTr="00CA2BB3">
        <w:trPr>
          <w:trHeight w:val="454"/>
        </w:trPr>
        <w:tc>
          <w:tcPr>
            <w:tcW w:w="1838" w:type="dxa"/>
          </w:tcPr>
          <w:p w14:paraId="163B3A9A" w14:textId="77777777" w:rsidR="00CD685B" w:rsidRPr="00CA2BB3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A2BB3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7229" w:type="dxa"/>
          </w:tcPr>
          <w:p w14:paraId="3BC7CC98" w14:textId="4CD93298" w:rsidR="00CD685B" w:rsidRPr="00CD685B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D685B">
              <w:rPr>
                <w:b/>
                <w:sz w:val="22"/>
                <w:szCs w:val="22"/>
              </w:rPr>
              <w:t>Befektetési döntések alapjai</w:t>
            </w:r>
          </w:p>
        </w:tc>
      </w:tr>
      <w:tr w:rsidR="00CD685B" w:rsidRPr="000338D7" w14:paraId="30DB916F" w14:textId="77777777" w:rsidTr="00CA2BB3">
        <w:trPr>
          <w:trHeight w:val="454"/>
        </w:trPr>
        <w:tc>
          <w:tcPr>
            <w:tcW w:w="1838" w:type="dxa"/>
          </w:tcPr>
          <w:p w14:paraId="67DD290C" w14:textId="77777777" w:rsidR="00CD685B" w:rsidRPr="00CA2BB3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A2BB3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7229" w:type="dxa"/>
          </w:tcPr>
          <w:p w14:paraId="0BA0BF67" w14:textId="001757B5" w:rsidR="00CD685B" w:rsidRPr="00CD685B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D685B">
              <w:rPr>
                <w:b/>
                <w:sz w:val="22"/>
                <w:szCs w:val="22"/>
              </w:rPr>
              <w:t xml:space="preserve">A </w:t>
            </w:r>
            <w:proofErr w:type="spellStart"/>
            <w:r w:rsidRPr="00CD685B">
              <w:rPr>
                <w:b/>
                <w:sz w:val="22"/>
                <w:szCs w:val="22"/>
              </w:rPr>
              <w:t>tőkeberuházási</w:t>
            </w:r>
            <w:proofErr w:type="spellEnd"/>
            <w:r w:rsidRPr="00CD685B">
              <w:rPr>
                <w:b/>
                <w:sz w:val="22"/>
                <w:szCs w:val="22"/>
              </w:rPr>
              <w:t xml:space="preserve"> és finanszírozási döntések és a nettó jelenérték- szabály</w:t>
            </w:r>
          </w:p>
        </w:tc>
      </w:tr>
      <w:tr w:rsidR="00CD685B" w:rsidRPr="000338D7" w14:paraId="5EB9005F" w14:textId="77777777" w:rsidTr="00CA2BB3">
        <w:trPr>
          <w:trHeight w:val="454"/>
        </w:trPr>
        <w:tc>
          <w:tcPr>
            <w:tcW w:w="1838" w:type="dxa"/>
          </w:tcPr>
          <w:p w14:paraId="72671FF2" w14:textId="77777777" w:rsidR="00CD685B" w:rsidRPr="00CA2BB3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A2BB3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7229" w:type="dxa"/>
          </w:tcPr>
          <w:p w14:paraId="794171D5" w14:textId="5EA7396F" w:rsidR="00CD685B" w:rsidRPr="00CD685B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D685B">
              <w:rPr>
                <w:b/>
                <w:sz w:val="22"/>
                <w:szCs w:val="22"/>
              </w:rPr>
              <w:t>Tőke-költségvetési módszerek és tőkeszerzési módok</w:t>
            </w:r>
          </w:p>
        </w:tc>
      </w:tr>
      <w:tr w:rsidR="00CD685B" w:rsidRPr="000338D7" w14:paraId="56147DA3" w14:textId="77777777" w:rsidTr="00CA2BB3">
        <w:trPr>
          <w:trHeight w:val="454"/>
        </w:trPr>
        <w:tc>
          <w:tcPr>
            <w:tcW w:w="1838" w:type="dxa"/>
          </w:tcPr>
          <w:p w14:paraId="7A50306C" w14:textId="77777777" w:rsidR="00CD685B" w:rsidRPr="00CA2BB3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A2BB3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7229" w:type="dxa"/>
          </w:tcPr>
          <w:p w14:paraId="5407C78B" w14:textId="77777777" w:rsidR="002611F3" w:rsidRDefault="00CD685B" w:rsidP="002611F3">
            <w:pPr>
              <w:ind w:left="709" w:hanging="699"/>
              <w:rPr>
                <w:b/>
                <w:sz w:val="22"/>
                <w:szCs w:val="22"/>
              </w:rPr>
            </w:pPr>
            <w:r w:rsidRPr="00CD685B">
              <w:rPr>
                <w:b/>
                <w:sz w:val="22"/>
                <w:szCs w:val="22"/>
              </w:rPr>
              <w:t>Kockázat, bizonytalanság és megtérülés</w:t>
            </w:r>
          </w:p>
          <w:p w14:paraId="715E9F5C" w14:textId="28BB682C" w:rsidR="00CD685B" w:rsidRPr="002611F3" w:rsidRDefault="00CD685B" w:rsidP="002611F3">
            <w:pPr>
              <w:ind w:left="10"/>
              <w:rPr>
                <w:b/>
                <w:sz w:val="22"/>
                <w:szCs w:val="22"/>
              </w:rPr>
            </w:pPr>
            <w:r w:rsidRPr="00CD685B">
              <w:rPr>
                <w:b/>
                <w:sz w:val="22"/>
                <w:szCs w:val="22"/>
              </w:rPr>
              <w:t>Döntési kritériumok (</w:t>
            </w:r>
            <w:proofErr w:type="spellStart"/>
            <w:r w:rsidRPr="00CD685B">
              <w:rPr>
                <w:b/>
                <w:sz w:val="22"/>
                <w:szCs w:val="22"/>
              </w:rPr>
              <w:t>Wald-féle</w:t>
            </w:r>
            <w:proofErr w:type="spellEnd"/>
            <w:r w:rsidRPr="00CD685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D685B">
              <w:rPr>
                <w:b/>
                <w:sz w:val="22"/>
                <w:szCs w:val="22"/>
              </w:rPr>
              <w:t>maximin</w:t>
            </w:r>
            <w:proofErr w:type="spellEnd"/>
            <w:r w:rsidRPr="00CD685B">
              <w:rPr>
                <w:b/>
                <w:sz w:val="22"/>
                <w:szCs w:val="22"/>
              </w:rPr>
              <w:t xml:space="preserve"> kritérium, </w:t>
            </w:r>
            <w:proofErr w:type="spellStart"/>
            <w:r w:rsidRPr="00CD685B">
              <w:rPr>
                <w:b/>
                <w:sz w:val="22"/>
                <w:szCs w:val="22"/>
              </w:rPr>
              <w:t>Hurwitz</w:t>
            </w:r>
            <w:proofErr w:type="spellEnd"/>
            <w:r w:rsidRPr="00CD685B">
              <w:rPr>
                <w:b/>
                <w:sz w:val="22"/>
                <w:szCs w:val="22"/>
              </w:rPr>
              <w:t xml:space="preserve"> optimizmus kritériuma stb.)</w:t>
            </w:r>
          </w:p>
        </w:tc>
      </w:tr>
      <w:tr w:rsidR="00CD685B" w:rsidRPr="000338D7" w14:paraId="54F8BC36" w14:textId="77777777" w:rsidTr="00CA2BB3">
        <w:trPr>
          <w:trHeight w:val="454"/>
        </w:trPr>
        <w:tc>
          <w:tcPr>
            <w:tcW w:w="1838" w:type="dxa"/>
          </w:tcPr>
          <w:p w14:paraId="6B24C1BC" w14:textId="77777777" w:rsidR="00CD685B" w:rsidRPr="00CA2BB3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A2BB3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7229" w:type="dxa"/>
          </w:tcPr>
          <w:p w14:paraId="11108357" w14:textId="77777777" w:rsidR="00CD685B" w:rsidRPr="00CD685B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D685B">
              <w:rPr>
                <w:b/>
                <w:bCs/>
                <w:sz w:val="22"/>
                <w:szCs w:val="22"/>
              </w:rPr>
              <w:t>Kritériumok összehasonlítása</w:t>
            </w:r>
          </w:p>
          <w:p w14:paraId="7C293C3C" w14:textId="418B67CA" w:rsidR="00CD685B" w:rsidRPr="00CD685B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D685B">
              <w:rPr>
                <w:b/>
                <w:bCs/>
                <w:sz w:val="22"/>
                <w:szCs w:val="22"/>
              </w:rPr>
              <w:t>Kockázat és megtérülés kapcsolata</w:t>
            </w:r>
          </w:p>
        </w:tc>
      </w:tr>
      <w:tr w:rsidR="00CD685B" w:rsidRPr="000338D7" w14:paraId="1868BD02" w14:textId="77777777" w:rsidTr="00CA2BB3">
        <w:trPr>
          <w:trHeight w:val="454"/>
        </w:trPr>
        <w:tc>
          <w:tcPr>
            <w:tcW w:w="1838" w:type="dxa"/>
          </w:tcPr>
          <w:p w14:paraId="65594B8A" w14:textId="77777777" w:rsidR="00CD685B" w:rsidRPr="00CA2BB3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A2BB3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7229" w:type="dxa"/>
          </w:tcPr>
          <w:p w14:paraId="6A45F22E" w14:textId="56D483D4" w:rsidR="00CD685B" w:rsidRPr="00CD685B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D685B">
              <w:rPr>
                <w:b/>
                <w:sz w:val="22"/>
                <w:szCs w:val="22"/>
              </w:rPr>
              <w:t>Zárthelyi dolgozat</w:t>
            </w:r>
          </w:p>
        </w:tc>
      </w:tr>
      <w:tr w:rsidR="00CD685B" w:rsidRPr="000338D7" w14:paraId="207F35B6" w14:textId="77777777" w:rsidTr="00CA2BB3">
        <w:trPr>
          <w:trHeight w:val="454"/>
        </w:trPr>
        <w:tc>
          <w:tcPr>
            <w:tcW w:w="1838" w:type="dxa"/>
          </w:tcPr>
          <w:p w14:paraId="0527B798" w14:textId="77777777" w:rsidR="00CD685B" w:rsidRPr="00CA2BB3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A2BB3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7229" w:type="dxa"/>
          </w:tcPr>
          <w:p w14:paraId="17F0D2AB" w14:textId="77777777" w:rsidR="00CD685B" w:rsidRPr="00CD685B" w:rsidRDefault="00CD685B" w:rsidP="00CD685B">
            <w:pPr>
              <w:ind w:left="709" w:hanging="699"/>
              <w:rPr>
                <w:b/>
                <w:sz w:val="22"/>
                <w:szCs w:val="22"/>
              </w:rPr>
            </w:pPr>
            <w:r w:rsidRPr="00CD685B">
              <w:rPr>
                <w:b/>
                <w:sz w:val="22"/>
                <w:szCs w:val="22"/>
              </w:rPr>
              <w:t>Befektetési portfóliók</w:t>
            </w:r>
          </w:p>
          <w:p w14:paraId="5FBAE8BB" w14:textId="0CCE973B" w:rsidR="00CD685B" w:rsidRPr="00CD685B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D685B">
              <w:rPr>
                <w:b/>
                <w:sz w:val="22"/>
                <w:szCs w:val="22"/>
              </w:rPr>
              <w:t>A portfólió kockázat-vizsgálata</w:t>
            </w:r>
          </w:p>
        </w:tc>
      </w:tr>
      <w:tr w:rsidR="00CD685B" w:rsidRPr="000338D7" w14:paraId="455FF82F" w14:textId="77777777" w:rsidTr="00CA2BB3">
        <w:trPr>
          <w:trHeight w:val="454"/>
        </w:trPr>
        <w:tc>
          <w:tcPr>
            <w:tcW w:w="1838" w:type="dxa"/>
          </w:tcPr>
          <w:p w14:paraId="4B3C508C" w14:textId="77777777" w:rsidR="00CD685B" w:rsidRPr="00CA2BB3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A2BB3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7229" w:type="dxa"/>
          </w:tcPr>
          <w:p w14:paraId="38CAC359" w14:textId="77777777" w:rsidR="00CD685B" w:rsidRPr="00CD685B" w:rsidRDefault="00CD685B" w:rsidP="00CD685B">
            <w:pPr>
              <w:ind w:left="709" w:hanging="699"/>
              <w:rPr>
                <w:b/>
                <w:sz w:val="22"/>
                <w:szCs w:val="22"/>
              </w:rPr>
            </w:pPr>
            <w:r w:rsidRPr="00CD685B">
              <w:rPr>
                <w:b/>
                <w:sz w:val="22"/>
                <w:szCs w:val="22"/>
              </w:rPr>
              <w:t>A tőkepiaci értékelés modelljének elvi alapjai</w:t>
            </w:r>
          </w:p>
          <w:p w14:paraId="63EAE4FF" w14:textId="55B50DEA" w:rsidR="00CD685B" w:rsidRPr="00CD685B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proofErr w:type="spellStart"/>
            <w:r w:rsidRPr="00CD685B">
              <w:rPr>
                <w:b/>
                <w:sz w:val="22"/>
                <w:szCs w:val="22"/>
              </w:rPr>
              <w:t>CAPM-modell</w:t>
            </w:r>
            <w:proofErr w:type="spellEnd"/>
          </w:p>
        </w:tc>
      </w:tr>
      <w:tr w:rsidR="00CD685B" w:rsidRPr="000338D7" w14:paraId="64082E58" w14:textId="77777777" w:rsidTr="00CA2BB3">
        <w:trPr>
          <w:trHeight w:val="454"/>
        </w:trPr>
        <w:tc>
          <w:tcPr>
            <w:tcW w:w="1838" w:type="dxa"/>
          </w:tcPr>
          <w:p w14:paraId="0DC0EBFC" w14:textId="77777777" w:rsidR="00CD685B" w:rsidRPr="00CA2BB3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A2BB3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7229" w:type="dxa"/>
          </w:tcPr>
          <w:p w14:paraId="07806750" w14:textId="2C377744" w:rsidR="00CD685B" w:rsidRPr="00CD685B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D685B">
              <w:rPr>
                <w:b/>
                <w:sz w:val="22"/>
                <w:szCs w:val="22"/>
              </w:rPr>
              <w:t>A béták mérése</w:t>
            </w:r>
          </w:p>
        </w:tc>
      </w:tr>
      <w:tr w:rsidR="00CD685B" w:rsidRPr="000338D7" w14:paraId="066A3832" w14:textId="77777777" w:rsidTr="00CA2BB3">
        <w:trPr>
          <w:trHeight w:val="454"/>
        </w:trPr>
        <w:tc>
          <w:tcPr>
            <w:tcW w:w="1838" w:type="dxa"/>
          </w:tcPr>
          <w:p w14:paraId="28E6CE58" w14:textId="77777777" w:rsidR="00CD685B" w:rsidRPr="00CA2BB3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A2BB3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7229" w:type="dxa"/>
          </w:tcPr>
          <w:p w14:paraId="3986E0C8" w14:textId="0D21599E" w:rsidR="00CD685B" w:rsidRPr="00CD685B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D685B">
              <w:rPr>
                <w:b/>
                <w:sz w:val="22"/>
                <w:szCs w:val="22"/>
              </w:rPr>
              <w:t>A vállalati tőkeköltség és tőkeszerkezet</w:t>
            </w:r>
          </w:p>
        </w:tc>
      </w:tr>
      <w:tr w:rsidR="00CD685B" w:rsidRPr="000338D7" w14:paraId="7B083F7D" w14:textId="77777777" w:rsidTr="00CA2BB3">
        <w:trPr>
          <w:trHeight w:val="454"/>
        </w:trPr>
        <w:tc>
          <w:tcPr>
            <w:tcW w:w="1838" w:type="dxa"/>
          </w:tcPr>
          <w:p w14:paraId="33FA79FB" w14:textId="77777777" w:rsidR="00CD685B" w:rsidRPr="00CA2BB3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A2BB3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7229" w:type="dxa"/>
          </w:tcPr>
          <w:p w14:paraId="2B266548" w14:textId="4C14210B" w:rsidR="00CD685B" w:rsidRPr="00CD685B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D685B">
              <w:rPr>
                <w:b/>
                <w:sz w:val="22"/>
                <w:szCs w:val="22"/>
              </w:rPr>
              <w:t>A vállalati hitelfelvételi politika (MM tétel)</w:t>
            </w:r>
          </w:p>
        </w:tc>
      </w:tr>
      <w:tr w:rsidR="00CD685B" w:rsidRPr="000338D7" w14:paraId="73A942DE" w14:textId="77777777" w:rsidTr="00CA2BB3">
        <w:trPr>
          <w:trHeight w:val="454"/>
        </w:trPr>
        <w:tc>
          <w:tcPr>
            <w:tcW w:w="1838" w:type="dxa"/>
          </w:tcPr>
          <w:p w14:paraId="0678916E" w14:textId="77777777" w:rsidR="00CD685B" w:rsidRPr="00CA2BB3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A2BB3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7229" w:type="dxa"/>
          </w:tcPr>
          <w:p w14:paraId="0F601243" w14:textId="2D4D45A8" w:rsidR="00CD685B" w:rsidRPr="00CD685B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D685B">
              <w:rPr>
                <w:b/>
                <w:sz w:val="22"/>
                <w:szCs w:val="22"/>
              </w:rPr>
              <w:t>Opcióárazás</w:t>
            </w:r>
          </w:p>
        </w:tc>
      </w:tr>
      <w:tr w:rsidR="00CD685B" w:rsidRPr="000338D7" w14:paraId="7C2D3D4C" w14:textId="77777777" w:rsidTr="00CA2BB3">
        <w:trPr>
          <w:trHeight w:val="454"/>
        </w:trPr>
        <w:tc>
          <w:tcPr>
            <w:tcW w:w="1838" w:type="dxa"/>
          </w:tcPr>
          <w:p w14:paraId="3F773722" w14:textId="358534BA" w:rsidR="00CD685B" w:rsidRPr="00CA2BB3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A2BB3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7229" w:type="dxa"/>
          </w:tcPr>
          <w:p w14:paraId="5B8AF030" w14:textId="1913099D" w:rsidR="00CD685B" w:rsidRPr="00CD685B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D685B">
              <w:rPr>
                <w:b/>
                <w:sz w:val="22"/>
                <w:szCs w:val="22"/>
              </w:rPr>
              <w:t>Zárthelyi dolgozat</w:t>
            </w:r>
          </w:p>
        </w:tc>
      </w:tr>
      <w:tr w:rsidR="00CD685B" w:rsidRPr="000338D7" w14:paraId="21F33169" w14:textId="77777777" w:rsidTr="00CA2BB3">
        <w:trPr>
          <w:trHeight w:val="454"/>
        </w:trPr>
        <w:tc>
          <w:tcPr>
            <w:tcW w:w="1838" w:type="dxa"/>
          </w:tcPr>
          <w:p w14:paraId="6E9580F8" w14:textId="77777777" w:rsidR="00CD685B" w:rsidRPr="00CA2BB3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CA2BB3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7229" w:type="dxa"/>
          </w:tcPr>
          <w:p w14:paraId="7881ADBD" w14:textId="3ADE127B" w:rsidR="00CD685B" w:rsidRPr="00CD685B" w:rsidRDefault="00CD685B" w:rsidP="00CD685B">
            <w:pPr>
              <w:ind w:left="709" w:hanging="699"/>
              <w:rPr>
                <w:b/>
                <w:bCs/>
                <w:sz w:val="22"/>
                <w:szCs w:val="22"/>
              </w:rPr>
            </w:pPr>
            <w:proofErr w:type="spellStart"/>
            <w:r w:rsidRPr="00CD685B">
              <w:rPr>
                <w:b/>
                <w:sz w:val="22"/>
                <w:szCs w:val="22"/>
              </w:rPr>
              <w:t>Pótzárthelyi</w:t>
            </w:r>
            <w:proofErr w:type="spellEnd"/>
            <w:r w:rsidRPr="00CD685B">
              <w:rPr>
                <w:b/>
                <w:sz w:val="22"/>
                <w:szCs w:val="22"/>
              </w:rPr>
              <w:t xml:space="preserve"> dolgozatok megírása, összefoglalás</w:t>
            </w:r>
          </w:p>
        </w:tc>
      </w:tr>
    </w:tbl>
    <w:p w14:paraId="33C0B7D9" w14:textId="7336D877" w:rsidR="001C1527" w:rsidRDefault="001C1527" w:rsidP="00086A67">
      <w:pPr>
        <w:rPr>
          <w:bCs/>
        </w:rPr>
      </w:pPr>
    </w:p>
    <w:p w14:paraId="2E84C99D" w14:textId="77777777" w:rsidR="00086A67" w:rsidRPr="00086A67" w:rsidRDefault="00086A67" w:rsidP="00086A67">
      <w:pPr>
        <w:rPr>
          <w:bCs/>
        </w:rPr>
      </w:pPr>
    </w:p>
    <w:p w14:paraId="6C3C6AD4" w14:textId="34A0472C" w:rsidR="00CA2BB3" w:rsidRPr="00CA2BB3" w:rsidRDefault="00CA2BB3" w:rsidP="00CA2BB3">
      <w:pPr>
        <w:rPr>
          <w:rFonts w:eastAsia="Calibri"/>
          <w:b/>
          <w:bCs/>
          <w:lang w:eastAsia="en-US"/>
        </w:rPr>
      </w:pPr>
      <w:r w:rsidRPr="00CA2BB3">
        <w:rPr>
          <w:rFonts w:eastAsia="Calibri"/>
          <w:b/>
          <w:bCs/>
          <w:lang w:eastAsia="en-US"/>
        </w:rPr>
        <w:t xml:space="preserve">A foglalkozásokon történő részvétel: </w:t>
      </w:r>
      <w:r w:rsidR="00CD685B">
        <w:rPr>
          <w:rFonts w:eastAsia="Calibri"/>
          <w:lang w:eastAsia="en-US"/>
        </w:rPr>
        <w:t xml:space="preserve">A </w:t>
      </w:r>
      <w:r w:rsidR="00F24F06" w:rsidRPr="00F24F06">
        <w:rPr>
          <w:rFonts w:eastAsia="Calibri"/>
          <w:lang w:eastAsia="en-US"/>
        </w:rPr>
        <w:t>foglalkozásokon a részvétel kötelező. A félévi hiányzás megengedhető mértéke a tantárgy heti kontakt óraszámának háromszorosa. Ennek túllépése esetén a félév nem értékelhető (</w:t>
      </w:r>
      <w:proofErr w:type="spellStart"/>
      <w:r w:rsidR="00F24F06" w:rsidRPr="00F24F06">
        <w:rPr>
          <w:rFonts w:eastAsia="Calibri"/>
          <w:lang w:eastAsia="en-US"/>
        </w:rPr>
        <w:t>TVSz</w:t>
      </w:r>
      <w:proofErr w:type="spellEnd"/>
      <w:r w:rsidR="00F24F06" w:rsidRPr="00F24F06">
        <w:rPr>
          <w:rFonts w:eastAsia="Calibri"/>
          <w:lang w:eastAsia="en-US"/>
        </w:rPr>
        <w:t xml:space="preserve"> 8.§ 1.)</w:t>
      </w:r>
    </w:p>
    <w:p w14:paraId="64DB48F0" w14:textId="77777777" w:rsidR="00CA2BB3" w:rsidRPr="00CA2BB3" w:rsidRDefault="00CA2BB3" w:rsidP="00CA2BB3">
      <w:pPr>
        <w:jc w:val="both"/>
        <w:rPr>
          <w:rFonts w:eastAsia="Calibri"/>
          <w:b/>
          <w:lang w:eastAsia="en-US"/>
        </w:rPr>
      </w:pPr>
    </w:p>
    <w:p w14:paraId="4B8A1E31" w14:textId="77777777" w:rsidR="00CA2BB3" w:rsidRPr="00CA2BB3" w:rsidRDefault="00CA2BB3" w:rsidP="00CA2BB3">
      <w:pPr>
        <w:jc w:val="both"/>
        <w:rPr>
          <w:rFonts w:eastAsia="Calibri"/>
          <w:lang w:eastAsia="en-US"/>
        </w:rPr>
      </w:pPr>
      <w:r w:rsidRPr="00CA2BB3">
        <w:rPr>
          <w:rFonts w:eastAsia="Calibri"/>
          <w:b/>
          <w:lang w:eastAsia="en-US"/>
        </w:rPr>
        <w:t xml:space="preserve">Félévi követelmény: </w:t>
      </w:r>
      <w:r w:rsidRPr="00CA2BB3">
        <w:rPr>
          <w:rFonts w:eastAsia="Calibri"/>
          <w:lang w:eastAsia="en-US"/>
        </w:rPr>
        <w:t>gyakorlati jegy</w:t>
      </w:r>
    </w:p>
    <w:p w14:paraId="0CB51313" w14:textId="77777777" w:rsidR="00CA2BB3" w:rsidRPr="00CA2BB3" w:rsidRDefault="00CA2BB3" w:rsidP="00CA2BB3">
      <w:pPr>
        <w:jc w:val="both"/>
        <w:rPr>
          <w:rFonts w:eastAsia="Calibri"/>
          <w:b/>
          <w:lang w:eastAsia="en-US"/>
        </w:rPr>
      </w:pPr>
    </w:p>
    <w:p w14:paraId="19A96824" w14:textId="6DE72906" w:rsidR="00CA2BB3" w:rsidRPr="00CA2BB3" w:rsidRDefault="00CA2BB3" w:rsidP="00CA2BB3">
      <w:pPr>
        <w:jc w:val="both"/>
        <w:rPr>
          <w:rFonts w:eastAsia="Calibri"/>
          <w:b/>
          <w:lang w:eastAsia="en-US"/>
        </w:rPr>
      </w:pPr>
      <w:r w:rsidRPr="00CA2BB3">
        <w:rPr>
          <w:rFonts w:eastAsia="Calibri"/>
          <w:b/>
          <w:lang w:eastAsia="en-US"/>
        </w:rPr>
        <w:t xml:space="preserve">Az értékelés módja, ütemezése: </w:t>
      </w:r>
      <w:r w:rsidR="00F24F06" w:rsidRPr="00916A07">
        <w:rPr>
          <w:rFonts w:eastAsia="Calibri"/>
          <w:lang w:eastAsia="en-US"/>
        </w:rPr>
        <w:t>A tantárgy jellege f</w:t>
      </w:r>
      <w:r w:rsidR="00FA77DA">
        <w:rPr>
          <w:rFonts w:eastAsia="Calibri"/>
          <w:lang w:eastAsia="en-US"/>
        </w:rPr>
        <w:t>olyamatos gyakorlást feltételez</w:t>
      </w:r>
      <w:r w:rsidR="00F24F06" w:rsidRPr="00916A07">
        <w:rPr>
          <w:rFonts w:eastAsia="Calibri"/>
          <w:lang w:eastAsia="en-US"/>
        </w:rPr>
        <w:t>.</w:t>
      </w:r>
      <w:r w:rsidR="00F24F06">
        <w:rPr>
          <w:rFonts w:eastAsia="Calibri"/>
          <w:b/>
          <w:lang w:eastAsia="en-US"/>
        </w:rPr>
        <w:t xml:space="preserve"> </w:t>
      </w:r>
      <w:r w:rsidR="00F24F06" w:rsidRPr="00F24F06">
        <w:rPr>
          <w:rFonts w:eastAsia="Calibri"/>
          <w:b/>
          <w:lang w:eastAsia="en-US"/>
        </w:rPr>
        <w:t xml:space="preserve"> </w:t>
      </w:r>
      <w:r w:rsidRPr="00CA2BB3">
        <w:rPr>
          <w:rFonts w:eastAsia="Calibri"/>
          <w:lang w:eastAsia="en-US"/>
        </w:rPr>
        <w:t xml:space="preserve">A félévi gyakorlati jegyet a tematikában megadott időpontban megírt két zárthelyi dolgozat számtani átlaga adja.  </w:t>
      </w:r>
    </w:p>
    <w:p w14:paraId="130CF550" w14:textId="77777777" w:rsidR="00CA2BB3" w:rsidRPr="00CA2BB3" w:rsidRDefault="00CA2BB3" w:rsidP="00CA2BB3">
      <w:pPr>
        <w:jc w:val="both"/>
        <w:rPr>
          <w:rFonts w:eastAsia="Calibri"/>
          <w:b/>
          <w:lang w:eastAsia="en-US"/>
        </w:rPr>
      </w:pPr>
    </w:p>
    <w:p w14:paraId="732BB56F" w14:textId="77777777" w:rsidR="00CA2BB3" w:rsidRPr="00CA2BB3" w:rsidRDefault="00CA2BB3" w:rsidP="00CA2BB3">
      <w:pPr>
        <w:jc w:val="both"/>
        <w:rPr>
          <w:rFonts w:eastAsia="Calibri"/>
          <w:b/>
          <w:i/>
          <w:lang w:eastAsia="en-US"/>
        </w:rPr>
      </w:pPr>
      <w:r w:rsidRPr="00CA2BB3">
        <w:rPr>
          <w:rFonts w:eastAsia="Calibri"/>
          <w:b/>
          <w:lang w:eastAsia="en-US"/>
        </w:rPr>
        <w:t>A félévközi ellenőrzések követelményei:</w:t>
      </w:r>
      <w:r w:rsidRPr="00CA2BB3">
        <w:rPr>
          <w:rFonts w:eastAsia="Calibri"/>
          <w:b/>
          <w:i/>
          <w:lang w:eastAsia="en-US"/>
        </w:rPr>
        <w:t xml:space="preserve"> </w:t>
      </w:r>
      <w:r w:rsidRPr="00CA2BB3">
        <w:rPr>
          <w:rFonts w:eastAsia="Calibri"/>
          <w:lang w:eastAsia="en-US"/>
        </w:rPr>
        <w:t>A zárthelyi dolgozatok sikeres elfogadásának feltétele a min. 50%-os eredmény elérése.</w:t>
      </w:r>
    </w:p>
    <w:p w14:paraId="6EDC4614" w14:textId="77777777" w:rsidR="00CA2BB3" w:rsidRPr="00CA2BB3" w:rsidRDefault="00CA2BB3" w:rsidP="00CA2BB3">
      <w:pPr>
        <w:jc w:val="both"/>
        <w:rPr>
          <w:rFonts w:eastAsia="Calibri"/>
          <w:b/>
          <w:lang w:eastAsia="en-US"/>
        </w:rPr>
      </w:pPr>
    </w:p>
    <w:p w14:paraId="137956B1" w14:textId="77777777" w:rsidR="00CA2BB3" w:rsidRPr="00CA2BB3" w:rsidRDefault="00CA2BB3" w:rsidP="00CA2BB3">
      <w:pPr>
        <w:jc w:val="both"/>
        <w:rPr>
          <w:rFonts w:eastAsia="Calibri"/>
          <w:lang w:eastAsia="en-US"/>
        </w:rPr>
      </w:pPr>
      <w:r w:rsidRPr="00CA2BB3">
        <w:rPr>
          <w:rFonts w:eastAsia="Calibri"/>
          <w:b/>
          <w:lang w:eastAsia="en-US"/>
        </w:rPr>
        <w:lastRenderedPageBreak/>
        <w:t xml:space="preserve">Az érdemjegy kialakításának módja: </w:t>
      </w:r>
      <w:r w:rsidRPr="00CA2BB3">
        <w:rPr>
          <w:rFonts w:eastAsia="Calibri"/>
          <w:lang w:eastAsia="en-US"/>
        </w:rPr>
        <w:t xml:space="preserve">Elégtelenre sikerült zárthelyi dolgozatok pótlására a </w:t>
      </w:r>
      <w:proofErr w:type="spellStart"/>
      <w:r w:rsidRPr="00CA2BB3">
        <w:rPr>
          <w:rFonts w:eastAsia="Calibri"/>
          <w:lang w:eastAsia="en-US"/>
        </w:rPr>
        <w:t>TVSz</w:t>
      </w:r>
      <w:proofErr w:type="spellEnd"/>
      <w:r w:rsidRPr="00CA2BB3">
        <w:rPr>
          <w:rFonts w:eastAsia="Calibri"/>
          <w:lang w:eastAsia="en-US"/>
        </w:rPr>
        <w:t xml:space="preserve"> szerint van lehetőség.</w:t>
      </w:r>
    </w:p>
    <w:p w14:paraId="30FF8DA8" w14:textId="77777777" w:rsidR="00CA2BB3" w:rsidRPr="00CA2BB3" w:rsidRDefault="00CA2BB3" w:rsidP="00CA2BB3">
      <w:pPr>
        <w:jc w:val="both"/>
        <w:rPr>
          <w:rFonts w:eastAsia="Calibri"/>
          <w:lang w:eastAsia="en-US"/>
        </w:rPr>
      </w:pPr>
    </w:p>
    <w:p w14:paraId="56EA3933" w14:textId="77777777" w:rsidR="00CA2BB3" w:rsidRPr="00CA2BB3" w:rsidRDefault="00CA2BB3" w:rsidP="00CA2BB3">
      <w:pPr>
        <w:jc w:val="both"/>
        <w:rPr>
          <w:rFonts w:eastAsia="Calibri"/>
          <w:lang w:eastAsia="en-US"/>
        </w:rPr>
      </w:pPr>
    </w:p>
    <w:p w14:paraId="72A14B31" w14:textId="35085F35" w:rsidR="00CA2BB3" w:rsidRPr="00CA2BB3" w:rsidRDefault="00CD685B" w:rsidP="00CA2BB3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</w:t>
      </w:r>
      <w:r w:rsidR="00A67DBE">
        <w:rPr>
          <w:rFonts w:eastAsia="Calibri"/>
          <w:lang w:eastAsia="en-US"/>
        </w:rPr>
        <w:t>, 2019. január 26</w:t>
      </w:r>
      <w:r>
        <w:rPr>
          <w:rFonts w:eastAsia="Calibri"/>
          <w:lang w:eastAsia="en-US"/>
        </w:rPr>
        <w:t>.</w:t>
      </w:r>
    </w:p>
    <w:p w14:paraId="30CE85B2" w14:textId="77777777" w:rsidR="00CA2BB3" w:rsidRPr="00CA2BB3" w:rsidRDefault="00CA2BB3" w:rsidP="00CA2BB3">
      <w:pPr>
        <w:ind w:left="5664" w:firstLine="708"/>
        <w:rPr>
          <w:rFonts w:eastAsia="Calibri"/>
          <w:b/>
          <w:lang w:eastAsia="en-US"/>
        </w:rPr>
      </w:pPr>
    </w:p>
    <w:p w14:paraId="5ABA4CEA" w14:textId="2DFA22B7" w:rsidR="00CA2BB3" w:rsidRPr="00CA2BB3" w:rsidRDefault="00CA2BB3" w:rsidP="00916A07">
      <w:pPr>
        <w:ind w:left="5664" w:firstLine="708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Oroszné </w:t>
      </w:r>
      <w:proofErr w:type="spellStart"/>
      <w:r>
        <w:rPr>
          <w:rFonts w:eastAsia="Calibri"/>
          <w:b/>
          <w:lang w:eastAsia="en-US"/>
        </w:rPr>
        <w:t>Ilcsik</w:t>
      </w:r>
      <w:proofErr w:type="spellEnd"/>
      <w:r w:rsidR="00916A07">
        <w:rPr>
          <w:rFonts w:eastAsia="Calibri"/>
          <w:b/>
          <w:lang w:eastAsia="en-US"/>
        </w:rPr>
        <w:t xml:space="preserve"> Bernadett</w:t>
      </w:r>
    </w:p>
    <w:p w14:paraId="77103F71" w14:textId="77777777" w:rsidR="009638AC" w:rsidRPr="00270BEC" w:rsidRDefault="009638AC" w:rsidP="009638AC">
      <w:pPr>
        <w:ind w:left="360"/>
        <w:jc w:val="both"/>
      </w:pPr>
    </w:p>
    <w:p w14:paraId="5F19F75D" w14:textId="77777777" w:rsidR="009638AC" w:rsidRDefault="009638AC" w:rsidP="009638AC">
      <w:pPr>
        <w:rPr>
          <w:sz w:val="22"/>
          <w:szCs w:val="22"/>
        </w:rPr>
      </w:pPr>
    </w:p>
    <w:p w14:paraId="02338826" w14:textId="1ACFF4E6" w:rsidR="001D1BDA" w:rsidRDefault="001D1BDA">
      <w:pPr>
        <w:spacing w:after="160" w:line="259" w:lineRule="auto"/>
        <w:rPr>
          <w:highlight w:val="green"/>
        </w:rPr>
      </w:pPr>
    </w:p>
    <w:sectPr w:rsidR="001D1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86A67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004C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11F3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C87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600FE4"/>
    <w:rsid w:val="00615DFA"/>
    <w:rsid w:val="0062094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4254B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16A07"/>
    <w:rsid w:val="009638AC"/>
    <w:rsid w:val="009729E7"/>
    <w:rsid w:val="00981D14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67DBE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645"/>
    <w:rsid w:val="00CA2BB3"/>
    <w:rsid w:val="00CC543F"/>
    <w:rsid w:val="00CD685B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24F06"/>
    <w:rsid w:val="00F42BDA"/>
    <w:rsid w:val="00F53842"/>
    <w:rsid w:val="00F70EC3"/>
    <w:rsid w:val="00F850B2"/>
    <w:rsid w:val="00FA1DE4"/>
    <w:rsid w:val="00FA4420"/>
    <w:rsid w:val="00FA77DA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86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Orosz Róbert</cp:lastModifiedBy>
  <cp:revision>2</cp:revision>
  <dcterms:created xsi:type="dcterms:W3CDTF">2019-01-27T14:59:00Z</dcterms:created>
  <dcterms:modified xsi:type="dcterms:W3CDTF">2019-01-27T14:59:00Z</dcterms:modified>
</cp:coreProperties>
</file>