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38" w:rsidRDefault="00105D38" w:rsidP="00105D38">
      <w:pPr>
        <w:pStyle w:val="Nincstrkz"/>
        <w:jc w:val="center"/>
        <w:rPr>
          <w:rFonts w:ascii="Garamond" w:hAnsi="Garamond"/>
          <w:b/>
          <w:sz w:val="40"/>
        </w:rPr>
      </w:pPr>
      <w:r w:rsidRPr="00EB7913">
        <w:rPr>
          <w:rFonts w:ascii="Garamond" w:hAnsi="Garamond"/>
          <w:b/>
          <w:sz w:val="40"/>
        </w:rPr>
        <w:t>Gazdálkodástudományi Intézet</w:t>
      </w:r>
    </w:p>
    <w:p w:rsidR="00105D38" w:rsidRPr="00EB7913" w:rsidRDefault="00105D38" w:rsidP="00105D38">
      <w:pPr>
        <w:pStyle w:val="Nincstrkz"/>
        <w:jc w:val="center"/>
        <w:rPr>
          <w:rFonts w:ascii="Times New Roman" w:hAnsi="Times New Roman"/>
          <w:b/>
          <w:sz w:val="24"/>
          <w:szCs w:val="24"/>
        </w:rPr>
      </w:pPr>
    </w:p>
    <w:p w:rsidR="00105D38" w:rsidRDefault="00105D38" w:rsidP="00105D38">
      <w:pPr>
        <w:pStyle w:val="Nincstrkz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Fog</w:t>
      </w:r>
      <w:r w:rsidRPr="00EB7913">
        <w:rPr>
          <w:rFonts w:ascii="Times New Roman" w:hAnsi="Times New Roman"/>
          <w:b/>
          <w:sz w:val="28"/>
          <w:szCs w:val="24"/>
        </w:rPr>
        <w:t>lalkoztatási terv</w:t>
      </w:r>
    </w:p>
    <w:p w:rsidR="00105D38" w:rsidRPr="00EB7913" w:rsidRDefault="00105D38" w:rsidP="00105D38">
      <w:pPr>
        <w:pStyle w:val="Nincstrkz"/>
        <w:jc w:val="center"/>
        <w:rPr>
          <w:rFonts w:ascii="Times New Roman" w:hAnsi="Times New Roman"/>
          <w:b/>
          <w:sz w:val="28"/>
          <w:szCs w:val="24"/>
        </w:rPr>
      </w:pPr>
    </w:p>
    <w:p w:rsidR="00105D38" w:rsidRPr="00464B4B" w:rsidRDefault="00A9012F" w:rsidP="00105D38">
      <w:pPr>
        <w:pStyle w:val="Nincstrkz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Közjog I</w:t>
      </w:r>
      <w:r w:rsidR="00105D38">
        <w:rPr>
          <w:rFonts w:ascii="Times New Roman" w:hAnsi="Times New Roman"/>
          <w:b/>
          <w:color w:val="FF0000"/>
          <w:sz w:val="28"/>
          <w:szCs w:val="28"/>
        </w:rPr>
        <w:t>.</w:t>
      </w:r>
    </w:p>
    <w:p w:rsidR="00105D38" w:rsidRPr="00EB7913" w:rsidRDefault="00105D38" w:rsidP="00105D38">
      <w:pPr>
        <w:pStyle w:val="Nincstrkz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4"/>
        <w:gridCol w:w="3662"/>
        <w:gridCol w:w="3016"/>
      </w:tblGrid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Tantárgy kódja</w:t>
            </w:r>
          </w:p>
        </w:tc>
        <w:tc>
          <w:tcPr>
            <w:tcW w:w="8076" w:type="dxa"/>
            <w:gridSpan w:val="2"/>
          </w:tcPr>
          <w:p w:rsidR="00105D38" w:rsidRPr="00A64660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BSP1109</w:t>
            </w: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Meghirdetés féléve</w:t>
            </w:r>
          </w:p>
        </w:tc>
        <w:tc>
          <w:tcPr>
            <w:tcW w:w="8076" w:type="dxa"/>
            <w:gridSpan w:val="2"/>
          </w:tcPr>
          <w:p w:rsidR="00105D38" w:rsidRPr="00B43311" w:rsidRDefault="00A9012F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  <w:r>
              <w:rPr>
                <w:rFonts w:ascii="Garamond" w:hAnsi="Garamond"/>
                <w:b/>
                <w:sz w:val="40"/>
              </w:rPr>
              <w:t>V</w:t>
            </w:r>
            <w:r w:rsidR="00105D38">
              <w:rPr>
                <w:rFonts w:ascii="Garamond" w:hAnsi="Garamond"/>
                <w:b/>
                <w:sz w:val="40"/>
              </w:rPr>
              <w:t>.</w:t>
            </w: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Kredit</w:t>
            </w:r>
          </w:p>
        </w:tc>
        <w:tc>
          <w:tcPr>
            <w:tcW w:w="8076" w:type="dxa"/>
            <w:gridSpan w:val="2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840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Heti kontakt óraszám (előadás+gyakorlat)</w:t>
            </w:r>
          </w:p>
        </w:tc>
        <w:tc>
          <w:tcPr>
            <w:tcW w:w="8076" w:type="dxa"/>
            <w:gridSpan w:val="2"/>
          </w:tcPr>
          <w:p w:rsidR="00105D38" w:rsidRPr="00A64660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2+0</w:t>
            </w: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Félévi követelmény</w:t>
            </w:r>
          </w:p>
        </w:tc>
        <w:tc>
          <w:tcPr>
            <w:tcW w:w="8076" w:type="dxa"/>
            <w:gridSpan w:val="2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  <w:r>
              <w:rPr>
                <w:rFonts w:ascii="Garamond" w:hAnsi="Garamond"/>
                <w:b/>
                <w:sz w:val="40"/>
              </w:rPr>
              <w:t>kollokvium</w:t>
            </w:r>
          </w:p>
        </w:tc>
      </w:tr>
      <w:tr w:rsidR="00105D38" w:rsidRPr="00B43311" w:rsidTr="004A295D">
        <w:trPr>
          <w:trHeight w:val="454"/>
        </w:trPr>
        <w:tc>
          <w:tcPr>
            <w:tcW w:w="10541" w:type="dxa"/>
            <w:gridSpan w:val="3"/>
          </w:tcPr>
          <w:p w:rsidR="00105D38" w:rsidRPr="00B43311" w:rsidRDefault="00105D38" w:rsidP="004A295D">
            <w:pPr>
              <w:pStyle w:val="Nincstrkz"/>
              <w:jc w:val="center"/>
              <w:rPr>
                <w:rFonts w:ascii="Garamond" w:hAnsi="Garamond"/>
                <w:b/>
                <w:sz w:val="40"/>
              </w:rPr>
            </w:pPr>
            <w:r w:rsidRPr="00B43311">
              <w:rPr>
                <w:rFonts w:ascii="Garamond" w:hAnsi="Garamond"/>
                <w:b/>
                <w:sz w:val="40"/>
              </w:rPr>
              <w:t xml:space="preserve">           A tantárgyi program félévi tartalma</w:t>
            </w:r>
          </w:p>
        </w:tc>
      </w:tr>
      <w:tr w:rsidR="00105D38" w:rsidRPr="00B43311" w:rsidTr="004A295D">
        <w:trPr>
          <w:trHeight w:val="454"/>
        </w:trPr>
        <w:tc>
          <w:tcPr>
            <w:tcW w:w="6768" w:type="dxa"/>
            <w:gridSpan w:val="2"/>
          </w:tcPr>
          <w:p w:rsidR="00105D38" w:rsidRPr="00B43311" w:rsidRDefault="00105D38" w:rsidP="004A295D">
            <w:pPr>
              <w:pStyle w:val="Nincstrkz"/>
              <w:jc w:val="center"/>
              <w:rPr>
                <w:rFonts w:ascii="Garamond" w:hAnsi="Garamond"/>
                <w:b/>
                <w:sz w:val="40"/>
              </w:rPr>
            </w:pPr>
            <w:r w:rsidRPr="00B43311">
              <w:rPr>
                <w:rFonts w:ascii="Garamond" w:hAnsi="Garamond"/>
                <w:b/>
                <w:sz w:val="40"/>
              </w:rPr>
              <w:t xml:space="preserve">                      Előadás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center"/>
              <w:rPr>
                <w:rFonts w:ascii="Garamond" w:hAnsi="Garamond"/>
                <w:b/>
                <w:sz w:val="40"/>
              </w:rPr>
            </w:pPr>
            <w:r w:rsidRPr="00B43311">
              <w:rPr>
                <w:rFonts w:ascii="Garamond" w:hAnsi="Garamond"/>
                <w:b/>
                <w:sz w:val="40"/>
              </w:rPr>
              <w:t>Gyakorlat</w:t>
            </w: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1. oktatási hét</w:t>
            </w:r>
          </w:p>
        </w:tc>
        <w:tc>
          <w:tcPr>
            <w:tcW w:w="4303" w:type="dxa"/>
          </w:tcPr>
          <w:p w:rsidR="00105D38" w:rsidRPr="00A64660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büntető jog helye a magyar jogrendszerben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2. oktatási hét</w:t>
            </w:r>
          </w:p>
        </w:tc>
        <w:tc>
          <w:tcPr>
            <w:tcW w:w="4303" w:type="dxa"/>
          </w:tcPr>
          <w:p w:rsidR="00105D38" w:rsidRPr="00A64660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büntető jogi jogviszony bemutatása, állam szerepének bemutatása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3. oktatási hét</w:t>
            </w:r>
          </w:p>
        </w:tc>
        <w:tc>
          <w:tcPr>
            <w:tcW w:w="4303" w:type="dxa"/>
          </w:tcPr>
          <w:p w:rsidR="00105D38" w:rsidRPr="00A64660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büntető jogi szabályok érvényessége területi, időbeli, személyi hatály. Visszaható hatály tilalma.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4. oktatási hét</w:t>
            </w:r>
          </w:p>
        </w:tc>
        <w:tc>
          <w:tcPr>
            <w:tcW w:w="4303" w:type="dxa"/>
          </w:tcPr>
          <w:p w:rsidR="00105D38" w:rsidRPr="00A64660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bűncselekmény fogalmi elemei.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5. oktatási hét</w:t>
            </w:r>
          </w:p>
        </w:tc>
        <w:tc>
          <w:tcPr>
            <w:tcW w:w="4303" w:type="dxa"/>
          </w:tcPr>
          <w:p w:rsidR="00105D38" w:rsidRPr="00A64660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A bűncselekmény tudati oldala I. </w:t>
            </w:r>
            <w:r>
              <w:rPr>
                <w:rFonts w:ascii="Garamond" w:hAnsi="Garamond"/>
                <w:sz w:val="40"/>
              </w:rPr>
              <w:lastRenderedPageBreak/>
              <w:t xml:space="preserve">Szándékosság fogalmi elemei 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6. oktatási hét</w:t>
            </w:r>
          </w:p>
        </w:tc>
        <w:tc>
          <w:tcPr>
            <w:tcW w:w="4303" w:type="dxa"/>
          </w:tcPr>
          <w:p w:rsidR="00105D38" w:rsidRPr="00A64660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bűncselekmény tudati oldala II. Gondatlanság fogalmi elemei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7. oktatási hét</w:t>
            </w:r>
          </w:p>
        </w:tc>
        <w:tc>
          <w:tcPr>
            <w:tcW w:w="4303" w:type="dxa"/>
          </w:tcPr>
          <w:p w:rsidR="00105D38" w:rsidRPr="00A64660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Stádium tan I. Gondolat elhatározás, előkészítés 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8. oktatási hét</w:t>
            </w:r>
          </w:p>
        </w:tc>
        <w:tc>
          <w:tcPr>
            <w:tcW w:w="4303" w:type="dxa"/>
          </w:tcPr>
          <w:p w:rsidR="00105D38" w:rsidRPr="00A64660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Stádium tan II. Kísérlet, befejezett bűncselekmény 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9. oktatási hét</w:t>
            </w:r>
          </w:p>
        </w:tc>
        <w:tc>
          <w:tcPr>
            <w:tcW w:w="4303" w:type="dxa"/>
          </w:tcPr>
          <w:p w:rsidR="00105D38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Bűncselekvény elkövetője: </w:t>
            </w:r>
          </w:p>
          <w:p w:rsidR="00105D38" w:rsidRPr="00A64660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tettes, részes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10. oktatási hét</w:t>
            </w:r>
          </w:p>
        </w:tc>
        <w:tc>
          <w:tcPr>
            <w:tcW w:w="4303" w:type="dxa"/>
          </w:tcPr>
          <w:p w:rsidR="00105D38" w:rsidRPr="00A64660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büntethetőséget kizáró okok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11. oktatási hét</w:t>
            </w:r>
          </w:p>
        </w:tc>
        <w:tc>
          <w:tcPr>
            <w:tcW w:w="4303" w:type="dxa"/>
          </w:tcPr>
          <w:p w:rsidR="00105D38" w:rsidRPr="00026D21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büntethetőséget megszüntető okok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12. oktatási hét</w:t>
            </w:r>
          </w:p>
        </w:tc>
        <w:tc>
          <w:tcPr>
            <w:tcW w:w="4303" w:type="dxa"/>
          </w:tcPr>
          <w:p w:rsidR="00105D38" w:rsidRPr="00026D21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büntetés fogalma, fajtái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13. oktatási hét</w:t>
            </w:r>
          </w:p>
        </w:tc>
        <w:tc>
          <w:tcPr>
            <w:tcW w:w="4303" w:type="dxa"/>
          </w:tcPr>
          <w:p w:rsidR="00105D38" w:rsidRPr="00026D21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Az intézkedések részletes bemutatása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  <w:tr w:rsidR="00105D38" w:rsidRPr="00B43311" w:rsidTr="004A295D">
        <w:trPr>
          <w:trHeight w:val="454"/>
        </w:trPr>
        <w:tc>
          <w:tcPr>
            <w:tcW w:w="2465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3311">
              <w:rPr>
                <w:rFonts w:ascii="Times New Roman" w:hAnsi="Times New Roman"/>
                <w:b/>
                <w:sz w:val="24"/>
                <w:szCs w:val="24"/>
              </w:rPr>
              <w:t>14. oktatási hét</w:t>
            </w:r>
          </w:p>
        </w:tc>
        <w:tc>
          <w:tcPr>
            <w:tcW w:w="4303" w:type="dxa"/>
          </w:tcPr>
          <w:p w:rsidR="00105D38" w:rsidRPr="00026D21" w:rsidRDefault="00105D38" w:rsidP="004A295D">
            <w:pPr>
              <w:pStyle w:val="Nincstrkz"/>
              <w:jc w:val="both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A fiatalkorúakra vonatkozó speciális szabályok</w:t>
            </w:r>
          </w:p>
        </w:tc>
        <w:tc>
          <w:tcPr>
            <w:tcW w:w="3773" w:type="dxa"/>
          </w:tcPr>
          <w:p w:rsidR="00105D38" w:rsidRPr="00B43311" w:rsidRDefault="00105D38" w:rsidP="004A295D">
            <w:pPr>
              <w:pStyle w:val="Nincstrkz"/>
              <w:jc w:val="both"/>
              <w:rPr>
                <w:rFonts w:ascii="Garamond" w:hAnsi="Garamond"/>
                <w:b/>
                <w:sz w:val="40"/>
              </w:rPr>
            </w:pPr>
          </w:p>
        </w:tc>
      </w:tr>
    </w:tbl>
    <w:p w:rsidR="00105D38" w:rsidRDefault="00105D38" w:rsidP="00105D38">
      <w:pPr>
        <w:pStyle w:val="Nincstrkz"/>
        <w:jc w:val="both"/>
        <w:rPr>
          <w:rFonts w:ascii="Garamond" w:hAnsi="Garamond"/>
          <w:b/>
          <w:sz w:val="40"/>
        </w:rPr>
      </w:pPr>
    </w:p>
    <w:p w:rsidR="00105D38" w:rsidRPr="00EB7913" w:rsidRDefault="00105D38" w:rsidP="00105D38">
      <w:pPr>
        <w:pStyle w:val="Nincstrkz"/>
        <w:jc w:val="center"/>
        <w:rPr>
          <w:rFonts w:ascii="Garamond" w:hAnsi="Garamond"/>
          <w:b/>
          <w:sz w:val="40"/>
        </w:rPr>
      </w:pPr>
    </w:p>
    <w:p w:rsidR="00105D38" w:rsidRDefault="00105D38" w:rsidP="00105D38"/>
    <w:p w:rsidR="00CC6DC8" w:rsidRDefault="00CC6DC8">
      <w:bookmarkStart w:id="0" w:name="_GoBack"/>
      <w:bookmarkEnd w:id="0"/>
    </w:p>
    <w:sectPr w:rsidR="00CC6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38"/>
    <w:rsid w:val="00105D38"/>
    <w:rsid w:val="00A9012F"/>
    <w:rsid w:val="00CC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E1100-96C3-4A09-B0BC-91B88D3C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05D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105D3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156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Péter Palásti</dc:creator>
  <cp:keywords/>
  <dc:description/>
  <cp:lastModifiedBy>Péter Palásti</cp:lastModifiedBy>
  <cp:revision>2</cp:revision>
  <dcterms:created xsi:type="dcterms:W3CDTF">2018-09-07T08:17:00Z</dcterms:created>
  <dcterms:modified xsi:type="dcterms:W3CDTF">2018-09-07T08:19:00Z</dcterms:modified>
</cp:coreProperties>
</file>