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175B1" w14:textId="39C8A0E1" w:rsidR="00807E54" w:rsidRPr="00807E54" w:rsidRDefault="00807E54" w:rsidP="00807E54">
      <w:pPr>
        <w:jc w:val="center"/>
        <w:rPr>
          <w:b/>
          <w:sz w:val="28"/>
          <w:szCs w:val="28"/>
        </w:rPr>
      </w:pPr>
      <w:r w:rsidRPr="00807E54">
        <w:rPr>
          <w:b/>
          <w:sz w:val="28"/>
          <w:szCs w:val="28"/>
        </w:rPr>
        <w:t>Marketing és PR a felnőttoktatásban - MAD1222L</w:t>
      </w:r>
    </w:p>
    <w:p w14:paraId="0DFAD9B9" w14:textId="60D0B2B3" w:rsidR="003B1770" w:rsidRPr="00807E54" w:rsidRDefault="003B1770" w:rsidP="00807E54">
      <w:pPr>
        <w:jc w:val="center"/>
        <w:rPr>
          <w:sz w:val="28"/>
          <w:szCs w:val="28"/>
        </w:rPr>
      </w:pPr>
      <w:r w:rsidRPr="00807E54">
        <w:rPr>
          <w:b/>
          <w:sz w:val="28"/>
          <w:szCs w:val="28"/>
        </w:rPr>
        <w:t>LEVELEZŐ TAGOZAT</w:t>
      </w:r>
    </w:p>
    <w:p w14:paraId="6B7F3F5C" w14:textId="77777777" w:rsidR="00A573A6" w:rsidRPr="00807E54" w:rsidRDefault="00A573A6" w:rsidP="00807E54">
      <w:pPr>
        <w:jc w:val="center"/>
        <w:rPr>
          <w:sz w:val="28"/>
          <w:szCs w:val="28"/>
        </w:rPr>
      </w:pPr>
    </w:p>
    <w:p w14:paraId="19CDADDD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06A9A82" w14:textId="77777777" w:rsidR="00807E54" w:rsidRDefault="00807E54" w:rsidP="00807E54">
      <w:pPr>
        <w:pStyle w:val="Listaszerbekezds"/>
        <w:numPr>
          <w:ilvl w:val="0"/>
          <w:numId w:val="27"/>
        </w:numPr>
        <w:jc w:val="both"/>
        <w:rPr>
          <w:bCs/>
        </w:rPr>
      </w:pPr>
      <w:r w:rsidRPr="00807E54">
        <w:rPr>
          <w:bCs/>
        </w:rPr>
        <w:t>A tantárgy gyakorlatorientáltan és elméleti megalapozottsággal mutatja be a marketing azon sajátosságait,</w:t>
      </w:r>
      <w:r w:rsidRPr="00807E54">
        <w:rPr>
          <w:bCs/>
        </w:rPr>
        <w:t xml:space="preserve"> </w:t>
      </w:r>
      <w:r w:rsidRPr="00807E54">
        <w:rPr>
          <w:bCs/>
        </w:rPr>
        <w:t xml:space="preserve">amely az alap marketing ismereteken túl egy </w:t>
      </w:r>
      <w:proofErr w:type="gramStart"/>
      <w:r w:rsidRPr="00807E54">
        <w:rPr>
          <w:bCs/>
        </w:rPr>
        <w:t>speciális</w:t>
      </w:r>
      <w:proofErr w:type="gramEnd"/>
      <w:r w:rsidRPr="00807E54">
        <w:rPr>
          <w:bCs/>
        </w:rPr>
        <w:t xml:space="preserve"> ismeretkört jelent. A képzés során a szolgáltatásmarketing </w:t>
      </w:r>
      <w:proofErr w:type="spellStart"/>
      <w:r w:rsidRPr="00807E54">
        <w:rPr>
          <w:bCs/>
        </w:rPr>
        <w:t>specifikumaival</w:t>
      </w:r>
      <w:proofErr w:type="spellEnd"/>
      <w:r w:rsidRPr="00807E54">
        <w:rPr>
          <w:bCs/>
        </w:rPr>
        <w:t xml:space="preserve"> ismerkednek a hallgatók. A szolgáltatás, így az</w:t>
      </w:r>
      <w:r w:rsidRPr="00807E54">
        <w:rPr>
          <w:bCs/>
        </w:rPr>
        <w:t xml:space="preserve"> </w:t>
      </w:r>
      <w:r w:rsidRPr="00807E54">
        <w:rPr>
          <w:bCs/>
        </w:rPr>
        <w:t xml:space="preserve">oktatás jellemzőiről, marketing sajátosságairól hallgatnak előadást. </w:t>
      </w:r>
    </w:p>
    <w:p w14:paraId="6FAEAA66" w14:textId="23422A35" w:rsidR="00807E54" w:rsidRDefault="00807E54" w:rsidP="00807E54">
      <w:pPr>
        <w:pStyle w:val="Listaszerbekezds"/>
        <w:numPr>
          <w:ilvl w:val="0"/>
          <w:numId w:val="27"/>
        </w:numPr>
        <w:jc w:val="both"/>
        <w:rPr>
          <w:bCs/>
        </w:rPr>
      </w:pPr>
      <w:r w:rsidRPr="00807E54">
        <w:rPr>
          <w:bCs/>
        </w:rPr>
        <w:t>A HIPI-elv alkalmazása, valamint az</w:t>
      </w:r>
      <w:r w:rsidRPr="00807E54">
        <w:rPr>
          <w:bCs/>
        </w:rPr>
        <w:t xml:space="preserve"> </w:t>
      </w:r>
      <w:r w:rsidRPr="00807E54">
        <w:rPr>
          <w:bCs/>
        </w:rPr>
        <w:t xml:space="preserve">esettanulmányok jól megvilágítják a lényeget és kellő elméleti ismeretanyagot feltételeznek. </w:t>
      </w:r>
      <w:r>
        <w:rPr>
          <w:bCs/>
        </w:rPr>
        <w:t>Jógyakorlatok. Prezentációk.</w:t>
      </w:r>
    </w:p>
    <w:p w14:paraId="67DD3987" w14:textId="54B6462A" w:rsidR="00C95581" w:rsidRPr="00807E54" w:rsidRDefault="00807E54" w:rsidP="00807E54">
      <w:pPr>
        <w:pStyle w:val="Listaszerbekezds"/>
        <w:numPr>
          <w:ilvl w:val="0"/>
          <w:numId w:val="27"/>
        </w:numPr>
        <w:jc w:val="both"/>
        <w:rPr>
          <w:bCs/>
        </w:rPr>
      </w:pPr>
      <w:r w:rsidRPr="00807E54">
        <w:rPr>
          <w:bCs/>
        </w:rPr>
        <w:t>A félév</w:t>
      </w:r>
      <w:r w:rsidRPr="00807E54">
        <w:rPr>
          <w:bCs/>
        </w:rPr>
        <w:t xml:space="preserve"> </w:t>
      </w:r>
      <w:r w:rsidRPr="00807E54">
        <w:rPr>
          <w:bCs/>
        </w:rPr>
        <w:t>második részében a nonprofit szektor sajátosságain túl a public relations ismeretek andragógiai szektorra</w:t>
      </w:r>
      <w:r w:rsidRPr="00807E54">
        <w:rPr>
          <w:bCs/>
        </w:rPr>
        <w:t xml:space="preserve"> </w:t>
      </w:r>
      <w:r w:rsidRPr="00807E54">
        <w:rPr>
          <w:bCs/>
        </w:rPr>
        <w:t>vonatkozó ismeretanyagát kapják meg a hallgatók. Esettanulmányok és tréningjellegű feladatok elvégzésére</w:t>
      </w:r>
      <w:r w:rsidRPr="00807E54">
        <w:rPr>
          <w:bCs/>
        </w:rPr>
        <w:t xml:space="preserve"> </w:t>
      </w:r>
      <w:r w:rsidRPr="00807E54">
        <w:rPr>
          <w:bCs/>
        </w:rPr>
        <w:t xml:space="preserve">is sor kerül. </w:t>
      </w:r>
      <w:proofErr w:type="gramStart"/>
      <w:r w:rsidR="00C95581" w:rsidRPr="00807E54">
        <w:rPr>
          <w:bCs/>
        </w:rPr>
        <w:t>konzultáció</w:t>
      </w:r>
      <w:proofErr w:type="gramEnd"/>
      <w:r w:rsidRPr="00807E54">
        <w:rPr>
          <w:bCs/>
        </w:rPr>
        <w:t xml:space="preserve"> </w:t>
      </w:r>
      <w:proofErr w:type="spellStart"/>
      <w:r w:rsidR="00C95581" w:rsidRPr="00807E54">
        <w:rPr>
          <w:bCs/>
        </w:rPr>
        <w:t>konzultáció</w:t>
      </w:r>
      <w:proofErr w:type="spellEnd"/>
    </w:p>
    <w:p w14:paraId="5AB20092" w14:textId="77777777" w:rsidR="00C95581" w:rsidRDefault="00C95581" w:rsidP="00807E54">
      <w:pPr>
        <w:ind w:left="709" w:hanging="699"/>
        <w:jc w:val="both"/>
        <w:rPr>
          <w:b/>
          <w:bCs/>
        </w:rPr>
      </w:pPr>
    </w:p>
    <w:p w14:paraId="40EA5BBA" w14:textId="77777777" w:rsidR="00C95581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807E54">
      <w:pPr>
        <w:jc w:val="both"/>
      </w:pPr>
      <w:r w:rsidRPr="009A4485">
        <w:t>Az el</w:t>
      </w:r>
      <w:r w:rsidRPr="00807E54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807E5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152CEB9" w14:textId="675F7D58" w:rsidR="00C95581" w:rsidRP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807E54" w:rsidRPr="00807E54">
        <w:t>kollokvium</w:t>
      </w:r>
    </w:p>
    <w:p w14:paraId="13BCA589" w14:textId="279E62C0" w:rsidR="00807E54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  <w:r w:rsidR="00807E54">
        <w:t>1 db. prezentáció és háttéranyag elkészítése és bemutatása.</w:t>
      </w:r>
    </w:p>
    <w:p w14:paraId="5D487D6B" w14:textId="77777777" w:rsidR="00807E54" w:rsidRDefault="00807E54" w:rsidP="00807E54">
      <w:pPr>
        <w:ind w:left="10"/>
        <w:jc w:val="both"/>
        <w:rPr>
          <w:b/>
          <w:i/>
        </w:rPr>
      </w:pPr>
    </w:p>
    <w:p w14:paraId="507F7772" w14:textId="7B6498D7" w:rsidR="009D3ED9" w:rsidRPr="009A4485" w:rsidRDefault="009D3ED9" w:rsidP="00807E54">
      <w:pPr>
        <w:ind w:left="10"/>
        <w:jc w:val="both"/>
      </w:pPr>
      <w:r w:rsidRPr="00807E54">
        <w:rPr>
          <w:b/>
          <w:i/>
        </w:rPr>
        <w:t>A vizsgára bocsátás feltétele</w:t>
      </w:r>
      <w:r w:rsidRPr="009A4485">
        <w:t xml:space="preserve">: </w:t>
      </w:r>
    </w:p>
    <w:p w14:paraId="451626A8" w14:textId="53719A03" w:rsidR="009D3ED9" w:rsidRPr="00807E54" w:rsidRDefault="00807E54" w:rsidP="00807E54">
      <w:pPr>
        <w:jc w:val="both"/>
      </w:pPr>
      <w:r w:rsidRPr="00807E54">
        <w:t xml:space="preserve">A prezentáció elégtelen bemutatása, </w:t>
      </w:r>
      <w:r>
        <w:t>vagy a határidő be nem tartása,</w:t>
      </w:r>
      <w:r w:rsidR="009D3ED9" w:rsidRPr="00807E54">
        <w:t xml:space="preserve"> a formai és tartalmi követelmények mellőzése a tantárgy félévi érvénytelenségét vonja maga után. </w:t>
      </w:r>
    </w:p>
    <w:p w14:paraId="4512E1FC" w14:textId="77777777" w:rsidR="007743DD" w:rsidRPr="009A4485" w:rsidRDefault="007743DD" w:rsidP="007743DD">
      <w:pPr>
        <w:jc w:val="both"/>
      </w:pPr>
    </w:p>
    <w:p w14:paraId="10A9CE53" w14:textId="1963F55D" w:rsidR="00E234E7" w:rsidRPr="009A4485" w:rsidRDefault="00E234E7" w:rsidP="00E234E7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</w:p>
    <w:p w14:paraId="20BCE397" w14:textId="1B96A044" w:rsidR="00E234E7" w:rsidRPr="00326582" w:rsidRDefault="00E234E7" w:rsidP="00807E54">
      <w:pPr>
        <w:jc w:val="both"/>
        <w:rPr>
          <w:bCs/>
          <w:i/>
          <w:color w:val="0070C0"/>
        </w:rPr>
      </w:pPr>
      <w:r w:rsidRPr="00620949">
        <w:rPr>
          <w:bCs/>
        </w:rPr>
        <w:t>Írásbeli</w:t>
      </w:r>
      <w:r w:rsidR="00807E54">
        <w:rPr>
          <w:bCs/>
        </w:rPr>
        <w:t>/szóbeli</w:t>
      </w:r>
      <w:r w:rsidRPr="00620949">
        <w:rPr>
          <w:bCs/>
        </w:rPr>
        <w:t xml:space="preserve"> vizsga</w:t>
      </w:r>
      <w:r>
        <w:rPr>
          <w:bCs/>
        </w:rPr>
        <w:t xml:space="preserve"> anyaga</w:t>
      </w:r>
      <w:r w:rsidRPr="00620949">
        <w:t xml:space="preserve">: </w:t>
      </w:r>
      <w:r w:rsidR="00807E54">
        <w:rPr>
          <w:bCs/>
        </w:rPr>
        <w:t xml:space="preserve">A kiadott tételsor alapján, a kötelező irodalom fő fejezetei alapján, illetve a </w:t>
      </w:r>
      <w:proofErr w:type="gramStart"/>
      <w:r w:rsidR="00807E54">
        <w:rPr>
          <w:bCs/>
        </w:rPr>
        <w:t>konzultációk</w:t>
      </w:r>
      <w:proofErr w:type="gramEnd"/>
      <w:r w:rsidR="00807E54">
        <w:rPr>
          <w:bCs/>
        </w:rPr>
        <w:t xml:space="preserve"> során elhangzott előadásanyag és jógyakorlatok alapján.</w:t>
      </w:r>
    </w:p>
    <w:p w14:paraId="0973D7FF" w14:textId="77777777" w:rsidR="00E234E7" w:rsidRPr="00B96C67" w:rsidRDefault="00E234E7" w:rsidP="00E234E7">
      <w:pPr>
        <w:ind w:left="360"/>
      </w:pPr>
    </w:p>
    <w:p w14:paraId="3C3217B2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8C3DB22" w14:textId="32C62C42" w:rsidR="00E234E7" w:rsidRPr="00807E54" w:rsidRDefault="00E234E7" w:rsidP="00807E54">
      <w:pPr>
        <w:spacing w:after="120"/>
        <w:jc w:val="both"/>
      </w:pPr>
      <w:r w:rsidRPr="00807E54">
        <w:t>Az érdemjegyet a</w:t>
      </w:r>
      <w:r w:rsidR="00807E54" w:rsidRPr="00807E54">
        <w:t xml:space="preserve"> prezentáció és a</w:t>
      </w:r>
      <w:r w:rsidRPr="00807E54">
        <w:t xml:space="preserve">z írásbeli dolgozat számtani </w:t>
      </w:r>
      <w:r w:rsidR="00807E54" w:rsidRPr="00807E54">
        <w:t>átlag</w:t>
      </w:r>
      <w:r w:rsidRPr="00807E54">
        <w:t xml:space="preserve"> határozza meg. Az elégtelen </w:t>
      </w:r>
      <w:r w:rsidR="00807E54" w:rsidRPr="00807E54">
        <w:t xml:space="preserve">prezentáció </w:t>
      </w:r>
      <w:r w:rsidRPr="00807E54">
        <w:t xml:space="preserve">részeredmény </w:t>
      </w:r>
      <w:r w:rsidR="00807E54" w:rsidRPr="00807E54">
        <w:t>kizárja</w:t>
      </w:r>
      <w:r w:rsidRPr="00807E54">
        <w:t xml:space="preserve"> a</w:t>
      </w:r>
      <w:r w:rsidR="00807E54" w:rsidRPr="00807E54">
        <w:t>z írásbe</w:t>
      </w:r>
      <w:bookmarkStart w:id="0" w:name="_GoBack"/>
      <w:bookmarkEnd w:id="0"/>
      <w:r w:rsidR="00807E54" w:rsidRPr="00807E54">
        <w:t>li</w:t>
      </w:r>
      <w:r w:rsidR="00807E54">
        <w:t>/szóbeli</w:t>
      </w:r>
      <w:r w:rsidRPr="00807E54">
        <w:t xml:space="preserve"> vizsga megkezdésének lehetőségét. </w:t>
      </w:r>
    </w:p>
    <w:p w14:paraId="52EDE182" w14:textId="77777777" w:rsidR="00A573A6" w:rsidRPr="009A4485" w:rsidRDefault="00A573A6"/>
    <w:p w14:paraId="0AF12BB2" w14:textId="77777777" w:rsidR="00A573A6" w:rsidRPr="009A4485" w:rsidRDefault="00A573A6"/>
    <w:p w14:paraId="6125FB9E" w14:textId="77777777" w:rsidR="00A573A6" w:rsidRPr="009A4485" w:rsidRDefault="00A573A6"/>
    <w:p w14:paraId="0932BFD5" w14:textId="77777777" w:rsidR="00A573A6" w:rsidRPr="009A4485" w:rsidRDefault="00A573A6"/>
    <w:p w14:paraId="7AF60346" w14:textId="77777777" w:rsidR="00A573A6" w:rsidRPr="009A4485" w:rsidRDefault="00A573A6"/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07E54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István Piskóti</cp:lastModifiedBy>
  <cp:revision>2</cp:revision>
  <dcterms:created xsi:type="dcterms:W3CDTF">2019-02-14T22:32:00Z</dcterms:created>
  <dcterms:modified xsi:type="dcterms:W3CDTF">2019-02-14T22:32:00Z</dcterms:modified>
</cp:coreProperties>
</file>