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323D33" w:rsidRDefault="00323D33" w:rsidP="00323D33">
      <w:pPr>
        <w:jc w:val="center"/>
        <w:rPr>
          <w:b/>
        </w:rPr>
      </w:pPr>
      <w:r w:rsidRPr="00323D33">
        <w:rPr>
          <w:b/>
        </w:rPr>
        <w:t xml:space="preserve">Közgazdaságtan </w:t>
      </w:r>
      <w:r w:rsidR="00B876EF">
        <w:rPr>
          <w:b/>
        </w:rPr>
        <w:t>(2+2)</w:t>
      </w:r>
      <w:r w:rsidR="000D39A5">
        <w:rPr>
          <w:b/>
        </w:rPr>
        <w:t xml:space="preserve"> - MA</w:t>
      </w:r>
      <w:r w:rsidR="00F2650E">
        <w:rPr>
          <w:b/>
        </w:rPr>
        <w:t>KROÖKONÓMIA</w:t>
      </w:r>
    </w:p>
    <w:p w:rsidR="00162D62" w:rsidRPr="001E34D8" w:rsidRDefault="00F2650E" w:rsidP="00323D33">
      <w:pPr>
        <w:jc w:val="center"/>
        <w:rPr>
          <w:b/>
          <w:sz w:val="32"/>
          <w:szCs w:val="32"/>
        </w:rPr>
      </w:pPr>
      <w:r w:rsidRPr="001E34D8">
        <w:rPr>
          <w:b/>
          <w:sz w:val="32"/>
          <w:szCs w:val="32"/>
        </w:rPr>
        <w:t>BGZ</w:t>
      </w:r>
      <w:r w:rsidR="000D39A5">
        <w:rPr>
          <w:b/>
          <w:sz w:val="32"/>
          <w:szCs w:val="32"/>
        </w:rPr>
        <w:t>12</w:t>
      </w:r>
      <w:r w:rsidR="001E34D8" w:rsidRPr="001E34D8">
        <w:rPr>
          <w:b/>
          <w:sz w:val="32"/>
          <w:szCs w:val="32"/>
        </w:rPr>
        <w:t>02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/>
      </w:tblPr>
      <w:tblGrid>
        <w:gridCol w:w="2121"/>
        <w:gridCol w:w="6232"/>
      </w:tblGrid>
      <w:tr w:rsidR="00323D33" w:rsidTr="00323D33">
        <w:tc>
          <w:tcPr>
            <w:tcW w:w="2121" w:type="dxa"/>
          </w:tcPr>
          <w:p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  <w:r w:rsidRPr="00CA0B0C">
              <w:rPr>
                <w:b/>
                <w:bCs/>
              </w:rPr>
              <w:t>hét</w:t>
            </w:r>
          </w:p>
        </w:tc>
        <w:tc>
          <w:tcPr>
            <w:tcW w:w="6232" w:type="dxa"/>
          </w:tcPr>
          <w:p w:rsidR="00323D33" w:rsidRPr="000D2357" w:rsidRDefault="000D39A5" w:rsidP="00C67FFC">
            <w:pPr>
              <w:rPr>
                <w:bCs/>
              </w:rPr>
            </w:pPr>
            <w:r w:rsidRPr="000D2357">
              <w:rPr>
                <w:bCs/>
              </w:rPr>
              <w:t xml:space="preserve">A </w:t>
            </w:r>
            <w:proofErr w:type="spellStart"/>
            <w:r w:rsidRPr="000D2357">
              <w:rPr>
                <w:bCs/>
              </w:rPr>
              <w:t>makroökonómia</w:t>
            </w:r>
            <w:proofErr w:type="spellEnd"/>
            <w:r w:rsidRPr="000D2357">
              <w:rPr>
                <w:bCs/>
              </w:rPr>
              <w:t xml:space="preserve"> áttekintése. </w:t>
            </w:r>
            <w:r w:rsidR="00C67FFC">
              <w:rPr>
                <w:bCs/>
              </w:rPr>
              <w:t>Alapfogalmak.</w:t>
            </w:r>
          </w:p>
        </w:tc>
      </w:tr>
      <w:tr w:rsidR="00323D33" w:rsidTr="00323D33">
        <w:tc>
          <w:tcPr>
            <w:tcW w:w="2121" w:type="dxa"/>
          </w:tcPr>
          <w:p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323D33" w:rsidRPr="000D2357" w:rsidRDefault="000D39A5" w:rsidP="00C67FFC">
            <w:pPr>
              <w:rPr>
                <w:bCs/>
              </w:rPr>
            </w:pPr>
            <w:r w:rsidRPr="000D2357">
              <w:rPr>
                <w:bCs/>
              </w:rPr>
              <w:t>A nemzeti kibocsátás mérése.</w:t>
            </w:r>
            <w:r w:rsidR="00C67FFC">
              <w:rPr>
                <w:bCs/>
              </w:rPr>
              <w:t xml:space="preserve"> SNA és alternatív mutatók.</w:t>
            </w:r>
            <w:r w:rsidRPr="000D2357">
              <w:rPr>
                <w:bCs/>
              </w:rPr>
              <w:t xml:space="preserve"> </w:t>
            </w:r>
          </w:p>
        </w:tc>
      </w:tr>
      <w:tr w:rsidR="00323D33" w:rsidTr="00323D33">
        <w:tc>
          <w:tcPr>
            <w:tcW w:w="2121" w:type="dxa"/>
          </w:tcPr>
          <w:p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323D33" w:rsidRPr="000D2357" w:rsidRDefault="00C67FFC" w:rsidP="008C54C4">
            <w:pPr>
              <w:rPr>
                <w:bCs/>
              </w:rPr>
            </w:pPr>
            <w:r>
              <w:rPr>
                <w:bCs/>
              </w:rPr>
              <w:t>Árupiac. Fogyasztás és beruházás.</w:t>
            </w:r>
          </w:p>
        </w:tc>
      </w:tr>
      <w:tr w:rsidR="00323D33" w:rsidTr="00323D33">
        <w:tc>
          <w:tcPr>
            <w:tcW w:w="2121" w:type="dxa"/>
          </w:tcPr>
          <w:p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323D33" w:rsidRPr="000D2357" w:rsidRDefault="00C67FFC" w:rsidP="000D39A5">
            <w:pPr>
              <w:rPr>
                <w:bCs/>
              </w:rPr>
            </w:pPr>
            <w:r>
              <w:rPr>
                <w:bCs/>
              </w:rPr>
              <w:t>Pénzpiac. A pénz és funkciói, jellemzői.</w:t>
            </w:r>
          </w:p>
        </w:tc>
      </w:tr>
      <w:tr w:rsidR="00323D33" w:rsidTr="00323D33">
        <w:tc>
          <w:tcPr>
            <w:tcW w:w="2121" w:type="dxa"/>
          </w:tcPr>
          <w:p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323D33" w:rsidRPr="000D2357" w:rsidRDefault="00C67FFC" w:rsidP="008C54C4">
            <w:pPr>
              <w:rPr>
                <w:bCs/>
              </w:rPr>
            </w:pPr>
            <w:r>
              <w:rPr>
                <w:bCs/>
              </w:rPr>
              <w:t>Monetáris politika.</w:t>
            </w:r>
          </w:p>
        </w:tc>
      </w:tr>
      <w:tr w:rsidR="00323D33" w:rsidTr="00323D33">
        <w:tc>
          <w:tcPr>
            <w:tcW w:w="2121" w:type="dxa"/>
          </w:tcPr>
          <w:p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323D33" w:rsidRPr="00C67FFC" w:rsidRDefault="00C67FFC" w:rsidP="00C67FFC">
            <w:pPr>
              <w:rPr>
                <w:b/>
                <w:bCs/>
              </w:rPr>
            </w:pPr>
            <w:r w:rsidRPr="000D2357">
              <w:rPr>
                <w:bCs/>
              </w:rPr>
              <w:t>Az infláció fogalma, hatása, költségei; okok és gyógymódok</w:t>
            </w:r>
            <w:r w:rsidR="00D906DF">
              <w:rPr>
                <w:bCs/>
              </w:rPr>
              <w:t>.</w:t>
            </w:r>
          </w:p>
        </w:tc>
      </w:tr>
      <w:tr w:rsidR="00323D33" w:rsidTr="00323D33">
        <w:tc>
          <w:tcPr>
            <w:tcW w:w="2121" w:type="dxa"/>
          </w:tcPr>
          <w:p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323D33" w:rsidRPr="000D2357" w:rsidRDefault="00C67FFC" w:rsidP="00C67FFC">
            <w:pPr>
              <w:rPr>
                <w:bCs/>
              </w:rPr>
            </w:pPr>
            <w:r>
              <w:rPr>
                <w:bCs/>
              </w:rPr>
              <w:t xml:space="preserve">Munkapiac. </w:t>
            </w:r>
          </w:p>
        </w:tc>
      </w:tr>
      <w:tr w:rsidR="00323D33" w:rsidTr="00F2650E">
        <w:trPr>
          <w:trHeight w:val="148"/>
        </w:trPr>
        <w:tc>
          <w:tcPr>
            <w:tcW w:w="2121" w:type="dxa"/>
          </w:tcPr>
          <w:p w:rsidR="00323D33" w:rsidRPr="00CA0B0C" w:rsidRDefault="00323D33" w:rsidP="001E34D8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323D33" w:rsidRPr="000D2357" w:rsidRDefault="00C67FFC" w:rsidP="00F2650E">
            <w:pPr>
              <w:rPr>
                <w:bCs/>
              </w:rPr>
            </w:pPr>
            <w:r>
              <w:rPr>
                <w:bCs/>
              </w:rPr>
              <w:t>Munkanélküliség.</w:t>
            </w:r>
          </w:p>
        </w:tc>
      </w:tr>
      <w:tr w:rsidR="000D2357" w:rsidTr="00323D33">
        <w:tc>
          <w:tcPr>
            <w:tcW w:w="2121" w:type="dxa"/>
          </w:tcPr>
          <w:p w:rsidR="000D2357" w:rsidRPr="00CA0B0C" w:rsidRDefault="000D2357" w:rsidP="000D2357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0D2357" w:rsidRPr="000D2357" w:rsidRDefault="00C67FFC" w:rsidP="000D2357">
            <w:pPr>
              <w:rPr>
                <w:bCs/>
              </w:rPr>
            </w:pPr>
            <w:r>
              <w:rPr>
                <w:bCs/>
              </w:rPr>
              <w:t>Az állam feladata, funkciói.</w:t>
            </w:r>
          </w:p>
        </w:tc>
      </w:tr>
      <w:tr w:rsidR="000D2357" w:rsidTr="00323D33">
        <w:tc>
          <w:tcPr>
            <w:tcW w:w="2121" w:type="dxa"/>
          </w:tcPr>
          <w:p w:rsidR="000D2357" w:rsidRPr="00CA0B0C" w:rsidRDefault="000D2357" w:rsidP="000D2357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0D2357" w:rsidRPr="000D2357" w:rsidRDefault="002454CC" w:rsidP="000D2357">
            <w:pPr>
              <w:rPr>
                <w:bCs/>
              </w:rPr>
            </w:pPr>
            <w:proofErr w:type="spellStart"/>
            <w:r>
              <w:rPr>
                <w:bCs/>
              </w:rPr>
              <w:t>Aggregált</w:t>
            </w:r>
            <w:proofErr w:type="spellEnd"/>
            <w:r>
              <w:rPr>
                <w:bCs/>
              </w:rPr>
              <w:t xml:space="preserve"> kínálat, konjunktúra ciklusok.</w:t>
            </w:r>
          </w:p>
        </w:tc>
      </w:tr>
      <w:tr w:rsidR="000D2357" w:rsidTr="00323D33">
        <w:tc>
          <w:tcPr>
            <w:tcW w:w="2121" w:type="dxa"/>
          </w:tcPr>
          <w:p w:rsidR="000D2357" w:rsidRPr="00CA0B0C" w:rsidRDefault="000D2357" w:rsidP="000D2357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0D2357" w:rsidRPr="000D2357" w:rsidRDefault="00C67FFC" w:rsidP="000D2357">
            <w:pPr>
              <w:rPr>
                <w:bCs/>
              </w:rPr>
            </w:pPr>
            <w:r>
              <w:rPr>
                <w:bCs/>
              </w:rPr>
              <w:t>Tavaszi szünet</w:t>
            </w:r>
          </w:p>
        </w:tc>
      </w:tr>
      <w:tr w:rsidR="000D2357" w:rsidTr="00323D33">
        <w:tc>
          <w:tcPr>
            <w:tcW w:w="2121" w:type="dxa"/>
          </w:tcPr>
          <w:p w:rsidR="000D2357" w:rsidRPr="00CA0B0C" w:rsidRDefault="000D2357" w:rsidP="000D2357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0D2357" w:rsidRPr="000D2357" w:rsidRDefault="002454CC" w:rsidP="000D2357">
            <w:pPr>
              <w:rPr>
                <w:bCs/>
              </w:rPr>
            </w:pPr>
            <w:r>
              <w:rPr>
                <w:bCs/>
              </w:rPr>
              <w:t>Gazdasági növekedés.</w:t>
            </w:r>
          </w:p>
        </w:tc>
      </w:tr>
      <w:tr w:rsidR="000D39A5" w:rsidTr="00323D33">
        <w:tc>
          <w:tcPr>
            <w:tcW w:w="2121" w:type="dxa"/>
          </w:tcPr>
          <w:p w:rsidR="000D39A5" w:rsidRPr="00CA0B0C" w:rsidRDefault="000D39A5" w:rsidP="000D39A5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0D39A5" w:rsidRPr="00C67FFC" w:rsidRDefault="00C67FFC" w:rsidP="00C67FFC">
            <w:pPr>
              <w:rPr>
                <w:b/>
                <w:bCs/>
              </w:rPr>
            </w:pPr>
            <w:r>
              <w:rPr>
                <w:b/>
              </w:rPr>
              <w:t>Z</w:t>
            </w:r>
            <w:r w:rsidR="000D39A5" w:rsidRPr="00C67FFC">
              <w:rPr>
                <w:b/>
              </w:rPr>
              <w:t>árthelyi dolgozat</w:t>
            </w:r>
          </w:p>
        </w:tc>
      </w:tr>
      <w:tr w:rsidR="000D39A5" w:rsidTr="00323D33">
        <w:tc>
          <w:tcPr>
            <w:tcW w:w="2121" w:type="dxa"/>
          </w:tcPr>
          <w:p w:rsidR="000D39A5" w:rsidRPr="00CA0B0C" w:rsidRDefault="000D39A5" w:rsidP="000D39A5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0D39A5" w:rsidRPr="000D2357" w:rsidRDefault="002454CC" w:rsidP="000D39A5">
            <w:pPr>
              <w:rPr>
                <w:bCs/>
              </w:rPr>
            </w:pPr>
            <w:r>
              <w:rPr>
                <w:bCs/>
              </w:rPr>
              <w:t>Centrum és periféria. Nemzetközi szervezetek. Globalizáció.</w:t>
            </w:r>
          </w:p>
        </w:tc>
      </w:tr>
      <w:tr w:rsidR="000D39A5" w:rsidTr="00323D33">
        <w:tc>
          <w:tcPr>
            <w:tcW w:w="2121" w:type="dxa"/>
          </w:tcPr>
          <w:p w:rsidR="000D39A5" w:rsidRPr="00CA0B0C" w:rsidRDefault="000D39A5" w:rsidP="000D39A5">
            <w:pPr>
              <w:pStyle w:val="Listaszerbekezds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0D39A5" w:rsidRPr="000D2357" w:rsidRDefault="00C67FFC" w:rsidP="000D39A5">
            <w:pPr>
              <w:rPr>
                <w:bCs/>
              </w:rPr>
            </w:pPr>
            <w:proofErr w:type="spellStart"/>
            <w:r>
              <w:t>Pótzárthelyi</w:t>
            </w:r>
            <w:proofErr w:type="spellEnd"/>
            <w:r>
              <w:t xml:space="preserve"> dolgozat, összefoglalás.</w:t>
            </w:r>
          </w:p>
        </w:tc>
      </w:tr>
    </w:tbl>
    <w:p w:rsidR="0087478E" w:rsidRDefault="0087478E" w:rsidP="008C54C4">
      <w:pPr>
        <w:ind w:left="709" w:hanging="699"/>
        <w:rPr>
          <w:b/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8C54C4" w:rsidRPr="009A4485" w:rsidRDefault="008C54C4" w:rsidP="001E34D8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:rsidR="002C2F97" w:rsidRPr="009A4485" w:rsidRDefault="002C2F97" w:rsidP="00EB204B"/>
    <w:p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:rsidR="00EE532E" w:rsidRPr="009A4485" w:rsidRDefault="00EE532E" w:rsidP="00EB204B">
      <w:pPr>
        <w:jc w:val="both"/>
        <w:rPr>
          <w:b/>
        </w:rPr>
      </w:pPr>
    </w:p>
    <w:p w:rsidR="00BB6A1A" w:rsidRPr="000D2357" w:rsidRDefault="00847EF8" w:rsidP="00BB6A1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</w:p>
    <w:p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2B2DEA">
        <w:t>egy</w:t>
      </w:r>
      <w:r w:rsidR="00BB6A1A">
        <w:t xml:space="preserve"> zárthelyi dolgozat sikeres megírása.  A zárthelyi dolgozatokat a kiírt oktatási heteken kell az előadás keretén belül megírni (minimum 51 %-os szinten).</w:t>
      </w:r>
    </w:p>
    <w:p w:rsidR="00F0169A" w:rsidRPr="009A4485" w:rsidRDefault="00F0169A" w:rsidP="00BF5FC2">
      <w:pPr>
        <w:ind w:left="370"/>
        <w:jc w:val="both"/>
      </w:pPr>
    </w:p>
    <w:p w:rsidR="000D2357" w:rsidRPr="000D2357" w:rsidRDefault="00EE532E" w:rsidP="00E62037">
      <w:pPr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  <w:r w:rsidR="003D0926">
        <w:t>és</w:t>
      </w:r>
      <w:r w:rsidR="00E62037">
        <w:t>/vagy</w:t>
      </w:r>
      <w:r w:rsidR="003D0926">
        <w:t xml:space="preserve"> szóbeli.</w:t>
      </w:r>
    </w:p>
    <w:p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</w:t>
      </w:r>
      <w:r w:rsidR="00E62037">
        <w:t xml:space="preserve"> és a szemináriumon</w:t>
      </w:r>
      <w:r w:rsidR="00BB6A1A">
        <w:t xml:space="preserve"> elhangzottak</w:t>
      </w:r>
      <w:r w:rsidR="00E62037">
        <w:t xml:space="preserve"> </w:t>
      </w:r>
      <w:r w:rsidR="00E62037">
        <w:rPr>
          <w:b/>
        </w:rPr>
        <w:t xml:space="preserve">Meyer </w:t>
      </w:r>
      <w:proofErr w:type="spellStart"/>
      <w:r w:rsidR="00E62037">
        <w:rPr>
          <w:b/>
        </w:rPr>
        <w:t>Dietmar</w:t>
      </w:r>
      <w:proofErr w:type="spellEnd"/>
      <w:r w:rsidR="00E62037">
        <w:rPr>
          <w:b/>
        </w:rPr>
        <w:t xml:space="preserve"> – Solt Katalin: </w:t>
      </w:r>
      <w:proofErr w:type="spellStart"/>
      <w:r w:rsidR="00E62037">
        <w:rPr>
          <w:b/>
        </w:rPr>
        <w:t>Makroökonómia</w:t>
      </w:r>
      <w:proofErr w:type="spellEnd"/>
      <w:r w:rsidR="00E62037">
        <w:rPr>
          <w:b/>
        </w:rPr>
        <w:t xml:space="preserve"> c. könyvének ide vonatkozó fejezetei</w:t>
      </w:r>
      <w:proofErr w:type="gramStart"/>
      <w:r w:rsidR="00E62037">
        <w:rPr>
          <w:b/>
        </w:rPr>
        <w:t>.</w:t>
      </w:r>
      <w:r w:rsidR="00BB6A1A">
        <w:t>.</w:t>
      </w:r>
      <w:proofErr w:type="gramEnd"/>
      <w:r>
        <w:t xml:space="preserve"> Témakörökhöz kapcsolódó napi aktualitások.</w:t>
      </w:r>
    </w:p>
    <w:p w:rsidR="003D0926" w:rsidRPr="00620949" w:rsidRDefault="003D0926" w:rsidP="000D2357">
      <w:pPr>
        <w:ind w:left="228"/>
      </w:pPr>
      <w:r>
        <w:t>Szóbeli vizsga: a csatolt tételsor alapján.</w:t>
      </w:r>
    </w:p>
    <w:p w:rsidR="002C2F97" w:rsidRPr="009A4485" w:rsidRDefault="002C2F97" w:rsidP="003D0926">
      <w:pPr>
        <w:rPr>
          <w:b/>
          <w:bCs/>
        </w:rPr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0D2357" w:rsidRDefault="00F85C1B" w:rsidP="000D2357">
      <w:pPr>
        <w:spacing w:after="120"/>
        <w:jc w:val="both"/>
      </w:pPr>
      <w:r>
        <w:t xml:space="preserve">A félév végi érdemjegy az írásbeli </w:t>
      </w:r>
      <w:r w:rsidR="000D2357">
        <w:t>és</w:t>
      </w:r>
      <w:r w:rsidR="00E62037">
        <w:t>/vagy</w:t>
      </w:r>
      <w:r w:rsidR="000D2357">
        <w:t xml:space="preserve"> szóbeli </w:t>
      </w:r>
      <w:r>
        <w:t xml:space="preserve">kollokviumon elért eredmény alapján kerül megállapításra. </w:t>
      </w:r>
      <w:bookmarkStart w:id="0" w:name="_GoBack"/>
      <w:bookmarkEnd w:id="0"/>
    </w:p>
    <w:p w:rsidR="00E62037" w:rsidRDefault="00E62037" w:rsidP="000D2357">
      <w:pPr>
        <w:spacing w:after="120"/>
        <w:jc w:val="both"/>
      </w:pPr>
    </w:p>
    <w:p w:rsidR="00E62037" w:rsidRDefault="00E62037" w:rsidP="000D2357">
      <w:pPr>
        <w:spacing w:after="120"/>
        <w:jc w:val="both"/>
      </w:pPr>
    </w:p>
    <w:p w:rsidR="00E62037" w:rsidRDefault="00E62037" w:rsidP="000D2357">
      <w:pPr>
        <w:spacing w:after="120"/>
        <w:jc w:val="both"/>
      </w:pPr>
    </w:p>
    <w:p w:rsidR="00E62037" w:rsidRPr="000D2357" w:rsidRDefault="00E62037" w:rsidP="000D2357">
      <w:pPr>
        <w:spacing w:after="120"/>
        <w:jc w:val="both"/>
      </w:pPr>
    </w:p>
    <w:p w:rsidR="001E34D8" w:rsidRPr="001E34D8" w:rsidRDefault="001E34D8" w:rsidP="001E34D8">
      <w:pPr>
        <w:jc w:val="center"/>
        <w:rPr>
          <w:b/>
          <w:i/>
          <w:szCs w:val="20"/>
        </w:rPr>
      </w:pPr>
      <w:r w:rsidRPr="001E34D8">
        <w:rPr>
          <w:b/>
          <w:i/>
          <w:szCs w:val="20"/>
        </w:rPr>
        <w:lastRenderedPageBreak/>
        <w:t>Közgazdaságtan I</w:t>
      </w:r>
      <w:r w:rsidR="000D39A5">
        <w:rPr>
          <w:b/>
          <w:i/>
          <w:szCs w:val="20"/>
        </w:rPr>
        <w:t>I</w:t>
      </w:r>
      <w:r w:rsidRPr="001E34D8">
        <w:rPr>
          <w:b/>
          <w:i/>
          <w:szCs w:val="20"/>
        </w:rPr>
        <w:t>.</w:t>
      </w:r>
    </w:p>
    <w:p w:rsidR="001E34D8" w:rsidRPr="001E34D8" w:rsidRDefault="000D39A5" w:rsidP="001E34D8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MA</w:t>
      </w:r>
      <w:r w:rsidR="001E34D8" w:rsidRPr="001E34D8">
        <w:rPr>
          <w:b/>
          <w:i/>
          <w:szCs w:val="20"/>
        </w:rPr>
        <w:t>KROÖKONÓMIA TÉTELEK</w:t>
      </w:r>
    </w:p>
    <w:p w:rsidR="001E34D8" w:rsidRPr="001E34D8" w:rsidRDefault="001E34D8" w:rsidP="001E34D8">
      <w:pPr>
        <w:rPr>
          <w:szCs w:val="20"/>
        </w:rPr>
      </w:pPr>
    </w:p>
    <w:p w:rsidR="000D39A5" w:rsidRPr="00E62037" w:rsidRDefault="002B2DEA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 xml:space="preserve">A </w:t>
      </w:r>
      <w:proofErr w:type="spellStart"/>
      <w:r w:rsidRPr="00E62037">
        <w:rPr>
          <w:rFonts w:ascii="Garamond" w:hAnsi="Garamond"/>
        </w:rPr>
        <w:t>makroökonómia</w:t>
      </w:r>
      <w:proofErr w:type="spellEnd"/>
      <w:r w:rsidRPr="00E62037">
        <w:rPr>
          <w:rFonts w:ascii="Garamond" w:hAnsi="Garamond"/>
        </w:rPr>
        <w:t xml:space="preserve"> alapjai. </w:t>
      </w:r>
      <w:proofErr w:type="gramStart"/>
      <w:r w:rsidRPr="00E62037">
        <w:rPr>
          <w:rFonts w:ascii="Garamond" w:hAnsi="Garamond"/>
        </w:rPr>
        <w:t>Célok  és</w:t>
      </w:r>
      <w:proofErr w:type="gramEnd"/>
      <w:r w:rsidRPr="00E62037">
        <w:rPr>
          <w:rFonts w:ascii="Garamond" w:hAnsi="Garamond"/>
        </w:rPr>
        <w:t xml:space="preserve"> eszközök.</w:t>
      </w:r>
    </w:p>
    <w:p w:rsidR="000D39A5" w:rsidRPr="00E62037" w:rsidRDefault="000D39A5" w:rsidP="000D39A5">
      <w:pPr>
        <w:rPr>
          <w:rFonts w:ascii="Garamond" w:hAnsi="Garamond"/>
        </w:rPr>
      </w:pPr>
    </w:p>
    <w:p w:rsidR="000D39A5" w:rsidRPr="00E62037" w:rsidRDefault="002B2DEA" w:rsidP="000D39A5">
      <w:pPr>
        <w:numPr>
          <w:ilvl w:val="0"/>
          <w:numId w:val="34"/>
        </w:numPr>
        <w:rPr>
          <w:rFonts w:ascii="Garamond" w:hAnsi="Garamond"/>
        </w:rPr>
      </w:pPr>
      <w:proofErr w:type="spellStart"/>
      <w:r w:rsidRPr="00E62037">
        <w:rPr>
          <w:rFonts w:ascii="Garamond" w:hAnsi="Garamond"/>
        </w:rPr>
        <w:t>Agg</w:t>
      </w:r>
      <w:r w:rsidR="000D39A5" w:rsidRPr="00E62037">
        <w:rPr>
          <w:rFonts w:ascii="Garamond" w:hAnsi="Garamond"/>
        </w:rPr>
        <w:t>regált</w:t>
      </w:r>
      <w:proofErr w:type="spellEnd"/>
      <w:r w:rsidR="000D39A5" w:rsidRPr="00E62037">
        <w:rPr>
          <w:rFonts w:ascii="Garamond" w:hAnsi="Garamond"/>
        </w:rPr>
        <w:t xml:space="preserve"> kereslet, kínálat. Egyensúly. </w:t>
      </w:r>
    </w:p>
    <w:p w:rsidR="000D39A5" w:rsidRPr="00E62037" w:rsidRDefault="000D39A5" w:rsidP="000D39A5">
      <w:pPr>
        <w:rPr>
          <w:rFonts w:ascii="Garamond" w:hAnsi="Garamond"/>
        </w:rPr>
      </w:pPr>
    </w:p>
    <w:p w:rsidR="002B2DEA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>A gazda</w:t>
      </w:r>
      <w:r w:rsidR="002B2DEA" w:rsidRPr="00E62037">
        <w:rPr>
          <w:rFonts w:ascii="Garamond" w:hAnsi="Garamond"/>
        </w:rPr>
        <w:t>ság teljesítményének mérése (GNI</w:t>
      </w:r>
      <w:r w:rsidRPr="00E62037">
        <w:rPr>
          <w:rFonts w:ascii="Garamond" w:hAnsi="Garamond"/>
        </w:rPr>
        <w:t>, GDP</w:t>
      </w:r>
      <w:proofErr w:type="gramStart"/>
      <w:r w:rsidRPr="00E62037">
        <w:rPr>
          <w:rFonts w:ascii="Garamond" w:hAnsi="Garamond"/>
        </w:rPr>
        <w:t>...</w:t>
      </w:r>
      <w:proofErr w:type="gramEnd"/>
      <w:r w:rsidRPr="00E62037">
        <w:rPr>
          <w:rFonts w:ascii="Garamond" w:hAnsi="Garamond"/>
        </w:rPr>
        <w:t xml:space="preserve">). NEW. </w:t>
      </w:r>
      <w:r w:rsidR="00E62037">
        <w:rPr>
          <w:rFonts w:ascii="Garamond" w:hAnsi="Garamond"/>
        </w:rPr>
        <w:t xml:space="preserve"> </w:t>
      </w:r>
      <w:proofErr w:type="spellStart"/>
      <w:r w:rsidR="002B2DEA" w:rsidRPr="00E62037">
        <w:rPr>
          <w:rFonts w:ascii="Garamond" w:hAnsi="Garamond"/>
        </w:rPr>
        <w:t>Externáliák</w:t>
      </w:r>
      <w:proofErr w:type="spellEnd"/>
      <w:r w:rsidR="002B2DEA" w:rsidRPr="00E62037">
        <w:rPr>
          <w:rFonts w:ascii="Garamond" w:hAnsi="Garamond"/>
        </w:rPr>
        <w:t>.</w:t>
      </w:r>
    </w:p>
    <w:p w:rsidR="002B2DEA" w:rsidRPr="00E62037" w:rsidRDefault="002B2DEA" w:rsidP="002B2DEA">
      <w:pPr>
        <w:ind w:left="454"/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>Fogyasztás, megtakarítás, beruházás. Beruházás</w:t>
      </w:r>
      <w:r w:rsidR="00E62037">
        <w:rPr>
          <w:rFonts w:ascii="Garamond" w:hAnsi="Garamond"/>
        </w:rPr>
        <w:t>-</w:t>
      </w:r>
      <w:r w:rsidRPr="00E62037">
        <w:rPr>
          <w:rFonts w:ascii="Garamond" w:hAnsi="Garamond"/>
        </w:rPr>
        <w:t>kereslet.</w:t>
      </w:r>
    </w:p>
    <w:p w:rsidR="000D39A5" w:rsidRPr="00E62037" w:rsidRDefault="000D39A5" w:rsidP="000D39A5">
      <w:pPr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>Munkanélküliség és gazdasági értelmezése. Munkanélküliség fajtái. A munkanélküliség természetes rátája. Munkanélküliség rugalmas és rugalmatlan bérek esetén.</w:t>
      </w:r>
    </w:p>
    <w:p w:rsidR="000D39A5" w:rsidRPr="00E62037" w:rsidRDefault="000D39A5" w:rsidP="000D39A5">
      <w:pPr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 xml:space="preserve">Infláció és fokozatai. Árindexek. Infláció hatásai. </w:t>
      </w:r>
    </w:p>
    <w:p w:rsidR="002B2DEA" w:rsidRPr="00E62037" w:rsidRDefault="002B2DEA" w:rsidP="002B2DEA">
      <w:pPr>
        <w:ind w:left="454"/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 xml:space="preserve">Inflációs okok. </w:t>
      </w:r>
      <w:proofErr w:type="spellStart"/>
      <w:r w:rsidRPr="00E62037">
        <w:rPr>
          <w:rFonts w:ascii="Garamond" w:hAnsi="Garamond"/>
        </w:rPr>
        <w:t>Stagfláció</w:t>
      </w:r>
      <w:proofErr w:type="spellEnd"/>
      <w:r w:rsidRPr="00E62037">
        <w:rPr>
          <w:rFonts w:ascii="Garamond" w:hAnsi="Garamond"/>
        </w:rPr>
        <w:t xml:space="preserve">. Rövid és hosszú távú </w:t>
      </w:r>
      <w:proofErr w:type="spellStart"/>
      <w:r w:rsidRPr="00E62037">
        <w:rPr>
          <w:rFonts w:ascii="Garamond" w:hAnsi="Garamond"/>
        </w:rPr>
        <w:t>Phillips-görbe</w:t>
      </w:r>
      <w:proofErr w:type="spellEnd"/>
      <w:r w:rsidRPr="00E62037">
        <w:rPr>
          <w:rFonts w:ascii="Garamond" w:hAnsi="Garamond"/>
        </w:rPr>
        <w:t xml:space="preserve">. </w:t>
      </w:r>
    </w:p>
    <w:p w:rsidR="002B2DEA" w:rsidRPr="00E62037" w:rsidRDefault="002B2DEA" w:rsidP="002B2DEA">
      <w:pPr>
        <w:ind w:left="454"/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>Pénz, pénzeszközök. A pénz funkciói. Banktevékenységek. Bankok pénzteremtésének folyamata. Pénzkínálat-multiplikátor. A pénzteremtéssel ellentétes irányú folyamatok.</w:t>
      </w:r>
    </w:p>
    <w:p w:rsidR="000D39A5" w:rsidRPr="00E62037" w:rsidRDefault="000D39A5" w:rsidP="000D39A5">
      <w:pPr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>A központi banki politika. A monetáris politika eszközei. A pénzmennyiségre gyakorolt hatások. A központi bank egyéb tevékenységei.</w:t>
      </w:r>
    </w:p>
    <w:p w:rsidR="000D39A5" w:rsidRPr="00E62037" w:rsidRDefault="000D39A5" w:rsidP="000D39A5">
      <w:pPr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>Reálkamatláb értelmezése, beruházásokra gyakorolt hatások. A monetáris politika hatása a kamatlábakra. A pénz kínálata és kereslete.</w:t>
      </w:r>
    </w:p>
    <w:p w:rsidR="000D39A5" w:rsidRPr="00E62037" w:rsidRDefault="000D39A5" w:rsidP="000D39A5">
      <w:pPr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 xml:space="preserve">Hogyan befolyásolja a pénz a kibocsátást? Monetarizmus. A </w:t>
      </w:r>
      <w:proofErr w:type="gramStart"/>
      <w:r w:rsidRPr="00E62037">
        <w:rPr>
          <w:rFonts w:ascii="Garamond" w:hAnsi="Garamond"/>
        </w:rPr>
        <w:t>pénz forgási</w:t>
      </w:r>
      <w:proofErr w:type="gramEnd"/>
      <w:r w:rsidRPr="00E62037">
        <w:rPr>
          <w:rFonts w:ascii="Garamond" w:hAnsi="Garamond"/>
        </w:rPr>
        <w:t xml:space="preserve"> sebessége. A racionális várakozások tételei.</w:t>
      </w:r>
    </w:p>
    <w:p w:rsidR="000D39A5" w:rsidRPr="00E62037" w:rsidRDefault="000D39A5" w:rsidP="000D39A5">
      <w:pPr>
        <w:rPr>
          <w:rFonts w:ascii="Garamond" w:hAnsi="Garamond"/>
        </w:rPr>
      </w:pPr>
    </w:p>
    <w:p w:rsidR="000D39A5" w:rsidRPr="00E62037" w:rsidRDefault="000D39A5" w:rsidP="002B2DEA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>A kormányzatok tevékenységének növekedése és a kormányzati funkciók. Kormányzati kiadások. – adók – GN</w:t>
      </w:r>
      <w:r w:rsidR="002B2DEA" w:rsidRPr="00E62037">
        <w:rPr>
          <w:rFonts w:ascii="Garamond" w:hAnsi="Garamond"/>
        </w:rPr>
        <w:t>I</w:t>
      </w:r>
      <w:r w:rsidRPr="00E62037">
        <w:rPr>
          <w:rFonts w:ascii="Garamond" w:hAnsi="Garamond"/>
        </w:rPr>
        <w:t>. A kormányzat gazdasági szerepe. Kiadások és az adózás. Adózási elvek, adófajták. Progresszivitás és hatékonyság.</w:t>
      </w:r>
    </w:p>
    <w:p w:rsidR="000D39A5" w:rsidRPr="00E62037" w:rsidRDefault="000D39A5" w:rsidP="000D39A5">
      <w:pPr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 xml:space="preserve">A gazdasági növekedés elmélete. </w:t>
      </w:r>
      <w:r w:rsidR="002B2DEA" w:rsidRPr="00E62037">
        <w:rPr>
          <w:rFonts w:ascii="Garamond" w:hAnsi="Garamond"/>
        </w:rPr>
        <w:t>Konjunktúraciklusok.</w:t>
      </w:r>
    </w:p>
    <w:p w:rsidR="002B2DEA" w:rsidRPr="00E62037" w:rsidRDefault="002B2DEA" w:rsidP="00E62037">
      <w:pPr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 xml:space="preserve">Fejlődő országok közgazdaságtana. Növekedési, gazdasági feltételek. Népesedés. </w:t>
      </w:r>
      <w:proofErr w:type="spellStart"/>
      <w:r w:rsidRPr="00E62037">
        <w:rPr>
          <w:rFonts w:ascii="Garamond" w:hAnsi="Garamond"/>
        </w:rPr>
        <w:t>Malthus-i</w:t>
      </w:r>
      <w:proofErr w:type="spellEnd"/>
      <w:r w:rsidRPr="00E62037">
        <w:rPr>
          <w:rFonts w:ascii="Garamond" w:hAnsi="Garamond"/>
        </w:rPr>
        <w:t xml:space="preserve"> népesedéselmélet. A fejlődő országok gazdasági fejlődésének folyamata, elemei.</w:t>
      </w:r>
    </w:p>
    <w:p w:rsidR="000D39A5" w:rsidRPr="00E62037" w:rsidRDefault="000D39A5" w:rsidP="000D39A5">
      <w:pPr>
        <w:rPr>
          <w:rFonts w:ascii="Garamond" w:hAnsi="Garamond"/>
        </w:rPr>
      </w:pPr>
    </w:p>
    <w:p w:rsidR="000D39A5" w:rsidRPr="00E62037" w:rsidRDefault="000D39A5" w:rsidP="000D39A5">
      <w:pPr>
        <w:numPr>
          <w:ilvl w:val="0"/>
          <w:numId w:val="34"/>
        </w:numPr>
        <w:rPr>
          <w:rFonts w:ascii="Garamond" w:hAnsi="Garamond"/>
        </w:rPr>
      </w:pPr>
      <w:r w:rsidRPr="00E62037">
        <w:rPr>
          <w:rFonts w:ascii="Garamond" w:hAnsi="Garamond"/>
        </w:rPr>
        <w:t xml:space="preserve">A nemzetközi pénzügyi intézmények kiépítése a második világháború után. </w:t>
      </w:r>
      <w:proofErr w:type="spellStart"/>
      <w:r w:rsidRPr="00E62037">
        <w:rPr>
          <w:rFonts w:ascii="Garamond" w:hAnsi="Garamond"/>
        </w:rPr>
        <w:t>BrettonWoods-i</w:t>
      </w:r>
      <w:proofErr w:type="spellEnd"/>
      <w:r w:rsidRPr="00E62037">
        <w:rPr>
          <w:rFonts w:ascii="Garamond" w:hAnsi="Garamond"/>
        </w:rPr>
        <w:t xml:space="preserve"> árfolyamrendszer. IMF. Világbank.</w:t>
      </w:r>
    </w:p>
    <w:p w:rsidR="000D39A5" w:rsidRPr="00E62037" w:rsidRDefault="000D39A5" w:rsidP="000D39A5">
      <w:pPr>
        <w:rPr>
          <w:rFonts w:ascii="Garamond" w:hAnsi="Garamond"/>
        </w:rPr>
      </w:pPr>
    </w:p>
    <w:p w:rsidR="00A573A6" w:rsidRPr="00E62037" w:rsidRDefault="00A573A6">
      <w:pPr>
        <w:rPr>
          <w:rFonts w:ascii="Garamond" w:hAnsi="Garamond"/>
        </w:rPr>
      </w:pPr>
    </w:p>
    <w:p w:rsidR="003B1770" w:rsidRPr="00E62037" w:rsidRDefault="003B1770" w:rsidP="003D0926">
      <w:pPr>
        <w:tabs>
          <w:tab w:val="left" w:pos="5130"/>
        </w:tabs>
        <w:rPr>
          <w:rFonts w:ascii="Garamond" w:hAnsi="Garamond"/>
          <w:highlight w:val="yellow"/>
        </w:rPr>
      </w:pPr>
    </w:p>
    <w:sectPr w:rsidR="003B1770" w:rsidRPr="00E62037" w:rsidSect="00A6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666"/>
    <w:multiLevelType w:val="hybridMultilevel"/>
    <w:tmpl w:val="0F36CB26"/>
    <w:lvl w:ilvl="0" w:tplc="53F2E6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0F638E"/>
    <w:multiLevelType w:val="singleLevel"/>
    <w:tmpl w:val="0B728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55E620D5"/>
    <w:multiLevelType w:val="singleLevel"/>
    <w:tmpl w:val="72047916"/>
    <w:lvl w:ilvl="0">
      <w:start w:val="1"/>
      <w:numFmt w:val="decimal"/>
      <w:lvlText w:val="%1."/>
      <w:legacy w:legacy="1" w:legacySpace="113" w:legacyIndent="454"/>
      <w:lvlJc w:val="left"/>
      <w:pPr>
        <w:ind w:left="454" w:hanging="454"/>
      </w:pPr>
      <w:rPr>
        <w:rFonts w:ascii="Albertus Extra Bold" w:hAnsi="Albertus Extra Bold" w:hint="default"/>
        <w:sz w:val="20"/>
      </w:rPr>
    </w:lvl>
  </w:abstractNum>
  <w:abstractNum w:abstractNumId="4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3"/>
  </w:num>
  <w:num w:numId="35">
    <w:abstractNumId w:val="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D2357"/>
    <w:rsid w:val="000D39A5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E34D8"/>
    <w:rsid w:val="002004A2"/>
    <w:rsid w:val="002055BB"/>
    <w:rsid w:val="00215497"/>
    <w:rsid w:val="00233984"/>
    <w:rsid w:val="002454CC"/>
    <w:rsid w:val="00247D90"/>
    <w:rsid w:val="00257502"/>
    <w:rsid w:val="00294D32"/>
    <w:rsid w:val="002B2DEA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7A77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138E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67FFC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906DF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2037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Varga Levente</cp:lastModifiedBy>
  <cp:revision>4</cp:revision>
  <dcterms:created xsi:type="dcterms:W3CDTF">2019-01-24T08:46:00Z</dcterms:created>
  <dcterms:modified xsi:type="dcterms:W3CDTF">2019-01-24T12:18:00Z</dcterms:modified>
</cp:coreProperties>
</file>