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38" w:rsidRDefault="00105D38" w:rsidP="00105D38">
      <w:pPr>
        <w:pStyle w:val="Nincstrkz"/>
        <w:jc w:val="center"/>
        <w:rPr>
          <w:rFonts w:ascii="Garamond" w:hAnsi="Garamond"/>
          <w:b/>
          <w:sz w:val="40"/>
        </w:rPr>
      </w:pPr>
      <w:r w:rsidRPr="00EB7913">
        <w:rPr>
          <w:rFonts w:ascii="Garamond" w:hAnsi="Garamond"/>
          <w:b/>
          <w:sz w:val="40"/>
        </w:rPr>
        <w:t>Gazdálkodástudományi Intézet</w:t>
      </w:r>
    </w:p>
    <w:p w:rsidR="00105D38" w:rsidRPr="00EB7913" w:rsidRDefault="00105D38" w:rsidP="00105D3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105D38" w:rsidRDefault="00105D38" w:rsidP="00105D38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Fog</w:t>
      </w:r>
      <w:r w:rsidRPr="00EB7913">
        <w:rPr>
          <w:rFonts w:ascii="Times New Roman" w:hAnsi="Times New Roman"/>
          <w:b/>
          <w:sz w:val="28"/>
          <w:szCs w:val="24"/>
        </w:rPr>
        <w:t>lalkoztatási terv</w:t>
      </w:r>
    </w:p>
    <w:p w:rsidR="00105D38" w:rsidRPr="00EB7913" w:rsidRDefault="00105D38" w:rsidP="00105D38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</w:p>
    <w:p w:rsidR="00105D38" w:rsidRPr="00464B4B" w:rsidRDefault="00A9012F" w:rsidP="00105D38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Közjog I</w:t>
      </w:r>
      <w:r w:rsidR="00105D38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105D38" w:rsidRPr="00EB7913" w:rsidRDefault="00105D38" w:rsidP="00105D38">
      <w:pPr>
        <w:pStyle w:val="Nincstrkz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3662"/>
        <w:gridCol w:w="3016"/>
      </w:tblGrid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  <w:gridSpan w:val="2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BSP1109</w:t>
            </w: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  <w:gridSpan w:val="2"/>
          </w:tcPr>
          <w:p w:rsidR="00105D38" w:rsidRPr="00B43311" w:rsidRDefault="00A9012F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V</w:t>
            </w:r>
            <w:r w:rsidR="00105D38">
              <w:rPr>
                <w:rFonts w:ascii="Garamond" w:hAnsi="Garamond"/>
                <w:b/>
                <w:sz w:val="40"/>
              </w:rPr>
              <w:t>.</w:t>
            </w: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  <w:gridSpan w:val="2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840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Heti kontakt óraszám (előadás+gyakorlat)</w:t>
            </w:r>
          </w:p>
        </w:tc>
        <w:tc>
          <w:tcPr>
            <w:tcW w:w="8076" w:type="dxa"/>
            <w:gridSpan w:val="2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2+0</w:t>
            </w: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8076" w:type="dxa"/>
            <w:gridSpan w:val="2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kollokvium</w:t>
            </w:r>
          </w:p>
        </w:tc>
      </w:tr>
      <w:tr w:rsidR="00105D38" w:rsidRPr="00B43311" w:rsidTr="004A295D">
        <w:trPr>
          <w:trHeight w:val="454"/>
        </w:trPr>
        <w:tc>
          <w:tcPr>
            <w:tcW w:w="10541" w:type="dxa"/>
            <w:gridSpan w:val="3"/>
          </w:tcPr>
          <w:p w:rsidR="00105D38" w:rsidRPr="00B43311" w:rsidRDefault="00105D38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A tantárgyi program félévi tartalma</w:t>
            </w:r>
          </w:p>
        </w:tc>
      </w:tr>
      <w:tr w:rsidR="00105D38" w:rsidRPr="00B43311" w:rsidTr="004A295D">
        <w:trPr>
          <w:trHeight w:val="454"/>
        </w:trPr>
        <w:tc>
          <w:tcPr>
            <w:tcW w:w="6768" w:type="dxa"/>
            <w:gridSpan w:val="2"/>
          </w:tcPr>
          <w:p w:rsidR="00105D38" w:rsidRPr="00B43311" w:rsidRDefault="00105D38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           Előadás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>Gyakorlat</w:t>
            </w: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büntető jog helye a magyar jogrendszerben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2.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büntető jogi jogviszony bemutatása, állam szerepének bemutatása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3.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büntető jogi szabályok érvényessége területi, időbeli, személyi hatály. Visszaható hatály tilalma.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4.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bűncselekmény fogalmi elemei.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5.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A bűncselekmény tudati oldala I. </w:t>
            </w:r>
            <w:r>
              <w:rPr>
                <w:rFonts w:ascii="Garamond" w:hAnsi="Garamond"/>
                <w:sz w:val="40"/>
              </w:rPr>
              <w:lastRenderedPageBreak/>
              <w:t xml:space="preserve">Szándékosság fogalmi elemei 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6.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bűncselekmény tudati oldala II. Gondatlanság fogalmi elemei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7.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Stádium tan I. Gondolat elhatározás, előkészítés 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8.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Stádium tan II. Kísérlet, befejezett bűncselekmény 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9. oktatási hét</w:t>
            </w:r>
          </w:p>
        </w:tc>
        <w:tc>
          <w:tcPr>
            <w:tcW w:w="4303" w:type="dxa"/>
          </w:tcPr>
          <w:p w:rsidR="00105D38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Bűncselekvény elkövetője: </w:t>
            </w:r>
          </w:p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tettes, részes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10. oktatási hét</w:t>
            </w:r>
          </w:p>
        </w:tc>
        <w:tc>
          <w:tcPr>
            <w:tcW w:w="4303" w:type="dxa"/>
          </w:tcPr>
          <w:p w:rsidR="00105D38" w:rsidRPr="00A64660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büntethetőséget kizáró okok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11. oktatási hét</w:t>
            </w:r>
          </w:p>
        </w:tc>
        <w:tc>
          <w:tcPr>
            <w:tcW w:w="4303" w:type="dxa"/>
          </w:tcPr>
          <w:p w:rsidR="00105D38" w:rsidRPr="00026D21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büntethetőséget megszüntető okok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12. oktatási hét</w:t>
            </w:r>
          </w:p>
        </w:tc>
        <w:tc>
          <w:tcPr>
            <w:tcW w:w="4303" w:type="dxa"/>
          </w:tcPr>
          <w:p w:rsidR="00105D38" w:rsidRPr="00026D21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büntetés fogalma, fajtái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13. oktatási hét</w:t>
            </w:r>
          </w:p>
        </w:tc>
        <w:tc>
          <w:tcPr>
            <w:tcW w:w="4303" w:type="dxa"/>
          </w:tcPr>
          <w:p w:rsidR="00105D38" w:rsidRPr="00026D21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Az intézkedések részletes bemutatása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105D38" w:rsidRPr="00B43311" w:rsidTr="004A295D">
        <w:trPr>
          <w:trHeight w:val="454"/>
        </w:trPr>
        <w:tc>
          <w:tcPr>
            <w:tcW w:w="2465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14. oktatási hét</w:t>
            </w:r>
          </w:p>
        </w:tc>
        <w:tc>
          <w:tcPr>
            <w:tcW w:w="4303" w:type="dxa"/>
          </w:tcPr>
          <w:p w:rsidR="00105D38" w:rsidRPr="00026D21" w:rsidRDefault="00105D3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fiatalkorúakra vonatkozó speciális szabályok</w:t>
            </w:r>
          </w:p>
        </w:tc>
        <w:tc>
          <w:tcPr>
            <w:tcW w:w="3773" w:type="dxa"/>
          </w:tcPr>
          <w:p w:rsidR="00105D38" w:rsidRPr="00B43311" w:rsidRDefault="00105D3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</w:tbl>
    <w:p w:rsidR="00105D38" w:rsidRDefault="00105D38" w:rsidP="00105D38">
      <w:pPr>
        <w:pStyle w:val="Nincstrkz"/>
        <w:jc w:val="both"/>
        <w:rPr>
          <w:rFonts w:ascii="Garamond" w:hAnsi="Garamond"/>
          <w:b/>
          <w:sz w:val="40"/>
        </w:rPr>
      </w:pPr>
    </w:p>
    <w:p w:rsidR="00105D38" w:rsidRPr="00EB7913" w:rsidRDefault="00105D38" w:rsidP="00105D38">
      <w:pPr>
        <w:pStyle w:val="Nincstrkz"/>
        <w:jc w:val="center"/>
        <w:rPr>
          <w:rFonts w:ascii="Garamond" w:hAnsi="Garamond"/>
          <w:b/>
          <w:sz w:val="40"/>
        </w:rPr>
      </w:pPr>
    </w:p>
    <w:p w:rsidR="00105D38" w:rsidRDefault="00105D38" w:rsidP="00105D38"/>
    <w:p w:rsidR="00CC6DC8" w:rsidRDefault="00CC6DC8">
      <w:bookmarkStart w:id="0" w:name="_GoBack"/>
      <w:bookmarkEnd w:id="0"/>
    </w:p>
    <w:sectPr w:rsidR="00CC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38"/>
    <w:rsid w:val="00105D38"/>
    <w:rsid w:val="00A9012F"/>
    <w:rsid w:val="00C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E1100-96C3-4A09-B0BC-91B88D3C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5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105D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Palásti</dc:creator>
  <cp:keywords/>
  <dc:description/>
  <cp:lastModifiedBy>Péter Palásti</cp:lastModifiedBy>
  <cp:revision>2</cp:revision>
  <dcterms:created xsi:type="dcterms:W3CDTF">2018-09-07T08:17:00Z</dcterms:created>
  <dcterms:modified xsi:type="dcterms:W3CDTF">2018-09-07T08:19:00Z</dcterms:modified>
</cp:coreProperties>
</file>