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EE764C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BAI0027</w:t>
      </w:r>
      <w:r w:rsidR="00B63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Menedzsment 2.</w:t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B6395A">
        <w:rPr>
          <w:b/>
          <w:sz w:val="28"/>
          <w:szCs w:val="28"/>
        </w:rPr>
        <w:t>Kósáné dr. Bilanics Ágnes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AF7766" w:rsidTr="00B6395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6" w:rsidRPr="00B6395A" w:rsidRDefault="00EE764C" w:rsidP="00EE764C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BAI0027</w:t>
            </w:r>
            <w:r w:rsidR="00B639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Menedzsment 2.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E76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E76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 w:rsidP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EE764C">
              <w:rPr>
                <w:b/>
                <w:sz w:val="28"/>
                <w:szCs w:val="28"/>
                <w:lang w:eastAsia="en-US"/>
              </w:rPr>
              <w:t>+1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A7A7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gyakorlati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EE764C" w:rsidRDefault="001C1527" w:rsidP="00EE764C">
      <w:pPr>
        <w:ind w:left="709" w:hanging="699"/>
      </w:pPr>
      <w:r>
        <w:rPr>
          <w:b/>
          <w:bCs/>
        </w:rPr>
        <w:t>Féléves tematika:</w:t>
      </w:r>
      <w:r w:rsidR="00EE764C" w:rsidRPr="00EE764C">
        <w:t xml:space="preserve"> 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A</w:t>
            </w:r>
            <w:r w:rsidRPr="007D06A5">
              <w:rPr>
                <w:bCs/>
              </w:rPr>
              <w:t>z emberi erőforrás stratégia formáló, értékteremtő és versenyképesség meghatározó szerepét a szervezetben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D06A5" w:rsidRDefault="00EE764C" w:rsidP="007D06A5">
            <w:pPr>
              <w:ind w:left="709" w:hanging="699"/>
              <w:rPr>
                <w:bCs/>
              </w:rPr>
            </w:pPr>
            <w:r w:rsidRPr="007D06A5">
              <w:rPr>
                <w:bCs/>
              </w:rPr>
              <w:t>A Környeze</w:t>
            </w:r>
            <w:r w:rsidR="007D06A5">
              <w:rPr>
                <w:bCs/>
              </w:rPr>
              <w:t>t- stratégia-struktúra- vezetés</w:t>
            </w:r>
          </w:p>
          <w:p w:rsidR="00041767" w:rsidRPr="007D06A5" w:rsidRDefault="00EE764C" w:rsidP="007D06A5">
            <w:pPr>
              <w:ind w:left="709" w:hanging="699"/>
              <w:rPr>
                <w:bCs/>
              </w:rPr>
            </w:pPr>
            <w:r w:rsidRPr="007D06A5">
              <w:rPr>
                <w:bCs/>
              </w:rPr>
              <w:t>összefüggései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D06A5" w:rsidRDefault="00EE764C" w:rsidP="007D06A5">
            <w:pPr>
              <w:ind w:left="709" w:hanging="699"/>
              <w:rPr>
                <w:bCs/>
              </w:rPr>
            </w:pPr>
            <w:r w:rsidRPr="007D06A5">
              <w:rPr>
                <w:bCs/>
              </w:rPr>
              <w:t>Az alkal</w:t>
            </w:r>
            <w:r w:rsidR="007D06A5">
              <w:rPr>
                <w:bCs/>
              </w:rPr>
              <w:t>mazottak vezetése, a tulajdonos</w:t>
            </w:r>
          </w:p>
          <w:p w:rsidR="00041767" w:rsidRPr="007D06A5" w:rsidRDefault="00EE764C" w:rsidP="007D06A5">
            <w:pPr>
              <w:ind w:firstLine="10"/>
              <w:rPr>
                <w:bCs/>
              </w:rPr>
            </w:pPr>
            <w:r w:rsidRPr="007D06A5">
              <w:rPr>
                <w:bCs/>
              </w:rPr>
              <w:t>vezető</w:t>
            </w:r>
            <w:r w:rsidR="007D06A5">
              <w:rPr>
                <w:bCs/>
              </w:rPr>
              <w:t>-beosztott kapcsolatrendszer a szervezetben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A humán  tényezők szerepe a szervezetben (az egyéni, a csoport és a szervezeti szint)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E764C" w:rsidRPr="007D06A5" w:rsidRDefault="007D06A5" w:rsidP="007D06A5">
            <w:pPr>
              <w:ind w:firstLine="10"/>
              <w:rPr>
                <w:bCs/>
              </w:rPr>
            </w:pPr>
            <w:r>
              <w:rPr>
                <w:bCs/>
              </w:rPr>
              <w:t xml:space="preserve">Az emberi munkával kapcsolatos </w:t>
            </w:r>
            <w:r w:rsidR="00EE764C" w:rsidRPr="007D06A5">
              <w:rPr>
                <w:bCs/>
              </w:rPr>
              <w:t>gondolkodás változása</w:t>
            </w:r>
          </w:p>
          <w:p w:rsidR="00041767" w:rsidRPr="007D06A5" w:rsidRDefault="00EE764C" w:rsidP="007D06A5">
            <w:pPr>
              <w:ind w:left="709" w:hanging="699"/>
              <w:rPr>
                <w:bCs/>
              </w:rPr>
            </w:pPr>
            <w:r w:rsidRPr="007D06A5">
              <w:rPr>
                <w:bCs/>
              </w:rPr>
              <w:t>A s</w:t>
            </w:r>
            <w:r w:rsidR="007D06A5">
              <w:rPr>
                <w:bCs/>
              </w:rPr>
              <w:t>zervezeti munkavégzés jellemzői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pPr>
              <w:ind w:left="709" w:hanging="699"/>
              <w:rPr>
                <w:bCs/>
              </w:rPr>
            </w:pPr>
            <w:r w:rsidRPr="007D06A5">
              <w:rPr>
                <w:bCs/>
              </w:rPr>
              <w:t>Csoportmenedzsment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8554DD" w:rsidP="007D06A5">
            <w:r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8554DD" w:rsidP="00977F6C">
            <w:r>
              <w:t>Zárthelyi dolgozat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pPr>
              <w:ind w:left="709" w:hanging="699"/>
              <w:rPr>
                <w:bCs/>
              </w:rPr>
            </w:pPr>
            <w:r w:rsidRPr="007D06A5">
              <w:rPr>
                <w:bCs/>
              </w:rPr>
              <w:t>Konfliktusmenedzsment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Szervezeti kommunikáció és információmenedzsment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Vezetői időgazdálkodás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A vezetői kontroll szerepe a vállalati munkamegosztásban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Vállalatkormányzás, vállalatkormányzás társadalmi vonatkozásai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EE764C" w:rsidP="007D06A5">
            <w:r w:rsidRPr="007D06A5">
              <w:rPr>
                <w:bCs/>
              </w:rPr>
              <w:t>Szervezetfejlesztés filozófiája, a tanuló szervezetek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7D06A5" w:rsidRDefault="008554DD" w:rsidP="007D06A5">
            <w:r>
              <w:t>ZH 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8554DD" w:rsidP="00977F6C">
            <w:r>
              <w:t>Zárthelyi dolgozat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lastRenderedPageBreak/>
        <w:t>A fo</w:t>
      </w:r>
      <w:r w:rsidR="003727F4">
        <w:rPr>
          <w:b/>
          <w:bCs/>
        </w:rPr>
        <w:t>glalkozásokon történő részvétel:</w:t>
      </w:r>
    </w:p>
    <w:p w:rsidR="00096906" w:rsidRDefault="00096906" w:rsidP="00096906">
      <w:pPr>
        <w:rPr>
          <w:b/>
          <w:bCs/>
        </w:rPr>
      </w:pP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 xml:space="preserve">A </w:t>
      </w:r>
      <w:r w:rsidR="00096906">
        <w:rPr>
          <w:bCs/>
        </w:rPr>
        <w:t xml:space="preserve">tantárgyhoz kapcsolódó </w:t>
      </w:r>
      <w:r w:rsidRPr="00094E1C">
        <w:rPr>
          <w:bCs/>
        </w:rPr>
        <w:t>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D151EE" w:rsidRPr="009A4485" w:rsidRDefault="00D151EE" w:rsidP="007D06A5">
      <w:pPr>
        <w:rPr>
          <w:b/>
          <w:bCs/>
        </w:rPr>
      </w:pP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096906">
        <w:rPr>
          <w:b/>
        </w:rPr>
        <w:t>a sikeresen teljesített zárthelyi dolgozatok és a tantárgyhoz kapcsolódó gyakorlat feltételeinek teljesítése</w:t>
      </w:r>
    </w:p>
    <w:p w:rsidR="009638AC" w:rsidRPr="009A4485" w:rsidRDefault="009638AC" w:rsidP="009638AC">
      <w:pPr>
        <w:jc w:val="both"/>
        <w:rPr>
          <w:b/>
        </w:rPr>
      </w:pPr>
    </w:p>
    <w:p w:rsidR="0098496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EE764C">
        <w:t>A félév során a 7</w:t>
      </w:r>
      <w:r w:rsidR="003727F4">
        <w:t xml:space="preserve">. héten </w:t>
      </w:r>
      <w:r w:rsidR="00EE764C">
        <w:t>és a 14</w:t>
      </w:r>
      <w:r w:rsidR="005078C4">
        <w:t xml:space="preserve">. héten </w:t>
      </w:r>
      <w:r w:rsidR="003727F4">
        <w:t>zárthelyi dolgozat</w:t>
      </w:r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0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5078C4">
        <w:t>két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8462E7" w:rsidRPr="00484C8F">
        <w:t>érdemjegyeinek</w:t>
      </w:r>
      <w:r w:rsidR="004B5176">
        <w:t>, valamint a gyakorlaton szerzett érdemjegy</w:t>
      </w:r>
      <w:bookmarkStart w:id="2" w:name="_GoBack"/>
      <w:bookmarkEnd w:id="2"/>
      <w:r w:rsidR="008462E7" w:rsidRPr="00484C8F">
        <w:t xml:space="preserve"> </w:t>
      </w:r>
      <w:r w:rsidRPr="00484C8F">
        <w:t xml:space="preserve">átlaga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1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2D358F" w:rsidP="008163ED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96906"/>
    <w:rsid w:val="000B2786"/>
    <w:rsid w:val="000C12F3"/>
    <w:rsid w:val="000C383D"/>
    <w:rsid w:val="000D7C35"/>
    <w:rsid w:val="000F1C60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D358F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B5176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A71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D06A5"/>
    <w:rsid w:val="00801667"/>
    <w:rsid w:val="008163ED"/>
    <w:rsid w:val="008462E7"/>
    <w:rsid w:val="00847EF8"/>
    <w:rsid w:val="008554DD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395A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EE764C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2BEA-E74C-4AE8-8D01-42BD15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42B8-A555-494F-8FDA-F34A203F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5</cp:revision>
  <dcterms:created xsi:type="dcterms:W3CDTF">2018-10-01T06:45:00Z</dcterms:created>
  <dcterms:modified xsi:type="dcterms:W3CDTF">2018-10-01T07:04:00Z</dcterms:modified>
</cp:coreProperties>
</file>