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DB165" w14:textId="086B1E09" w:rsidR="005502A0" w:rsidRPr="009A4485" w:rsidRDefault="005502A0" w:rsidP="00AE0209">
      <w:r w:rsidRPr="00AE0209">
        <w:rPr>
          <w:b/>
          <w:highlight w:val="yellow"/>
        </w:rPr>
        <w:t>NAPPALI TAGOZAT</w:t>
      </w:r>
      <w:r>
        <w:t xml:space="preserve"> – </w:t>
      </w:r>
      <w:r w:rsidRPr="00AE0209">
        <w:rPr>
          <w:b/>
          <w:color w:val="FF0000"/>
        </w:rPr>
        <w:t>gyakorlati jegy, vagy minősített aláírás esetén</w:t>
      </w:r>
    </w:p>
    <w:p w14:paraId="32D80245" w14:textId="77777777" w:rsidR="00A573A6" w:rsidRPr="009A4485" w:rsidRDefault="00A573A6" w:rsidP="00A573A6"/>
    <w:p w14:paraId="31566333" w14:textId="77777777" w:rsidR="00211CAF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  <w:r w:rsidR="00211CAF">
        <w:rPr>
          <w:b/>
          <w:sz w:val="28"/>
          <w:szCs w:val="28"/>
        </w:rPr>
        <w:t>:</w:t>
      </w:r>
    </w:p>
    <w:p w14:paraId="5C8D4FEF" w14:textId="77777777" w:rsidR="00211CAF" w:rsidRDefault="00211CAF" w:rsidP="00042EE9">
      <w:pPr>
        <w:rPr>
          <w:b/>
          <w:sz w:val="28"/>
          <w:szCs w:val="28"/>
        </w:rPr>
      </w:pPr>
    </w:p>
    <w:p w14:paraId="7208403E" w14:textId="344059B1" w:rsidR="00042EE9" w:rsidRPr="002C5D8C" w:rsidRDefault="00211CA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Banküzemtan (BGZ2225)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1921803" w14:textId="77777777" w:rsidR="00211CAF" w:rsidRDefault="00211CAF" w:rsidP="001C1527">
      <w:pPr>
        <w:ind w:left="709" w:hanging="699"/>
        <w:rPr>
          <w:b/>
          <w:bCs/>
        </w:rPr>
      </w:pPr>
    </w:p>
    <w:p w14:paraId="5BFAD67B" w14:textId="5DAFA214" w:rsidR="001C1527" w:rsidRPr="0087478E" w:rsidRDefault="001C1527" w:rsidP="001C1527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 w:rsidR="00211CAF">
        <w:rPr>
          <w:bCs/>
        </w:rPr>
        <w:t>:</w:t>
      </w:r>
      <w:r w:rsidR="00F6347E">
        <w:rPr>
          <w:bCs/>
        </w:rPr>
        <w:t xml:space="preserve"> A bankok működése</w:t>
      </w:r>
    </w:p>
    <w:p w14:paraId="41031429" w14:textId="1061F897" w:rsidR="001C1527" w:rsidRPr="0087478E" w:rsidRDefault="001C1527" w:rsidP="001C1527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 w:rsidR="00F6347E">
        <w:rPr>
          <w:bCs/>
        </w:rPr>
        <w:t>: Kockázatkezelés és a kockázatok számszerűsítése: stratégiai kockázatkezelés, hitelkockázat piaci kockázat</w:t>
      </w:r>
    </w:p>
    <w:p w14:paraId="40C6AD25" w14:textId="4C012D4E" w:rsidR="00211CAF" w:rsidRDefault="001C1527" w:rsidP="001C1527">
      <w:pPr>
        <w:ind w:left="10"/>
        <w:rPr>
          <w:bCs/>
        </w:rPr>
      </w:pPr>
      <w:r w:rsidRPr="0087478E">
        <w:rPr>
          <w:bCs/>
        </w:rPr>
        <w:t>3</w:t>
      </w:r>
      <w:r w:rsidR="00F6347E">
        <w:rPr>
          <w:bCs/>
        </w:rPr>
        <w:t>. hét</w:t>
      </w:r>
      <w:r w:rsidR="00211CAF">
        <w:rPr>
          <w:bCs/>
        </w:rPr>
        <w:t xml:space="preserve">: </w:t>
      </w:r>
      <w:r w:rsidR="00F6347E">
        <w:rPr>
          <w:bCs/>
        </w:rPr>
        <w:t>Kockázatkezelés és a kockázatok számszerűsítése: működési kockázat, egyéb kockázatok</w:t>
      </w:r>
    </w:p>
    <w:p w14:paraId="2E293CD1" w14:textId="32A105AF" w:rsidR="001C1527" w:rsidRDefault="001C1527" w:rsidP="001C1527">
      <w:pPr>
        <w:ind w:left="10"/>
        <w:rPr>
          <w:bCs/>
        </w:rPr>
      </w:pPr>
      <w:r w:rsidRPr="0087478E">
        <w:rPr>
          <w:bCs/>
        </w:rPr>
        <w:t>4</w:t>
      </w:r>
      <w:r w:rsidR="00F6347E" w:rsidRPr="0087478E">
        <w:rPr>
          <w:bCs/>
        </w:rPr>
        <w:t xml:space="preserve">. </w:t>
      </w:r>
      <w:r w:rsidR="00F6347E">
        <w:rPr>
          <w:bCs/>
        </w:rPr>
        <w:t>hét: Hitelezési tevékenység</w:t>
      </w:r>
      <w:r w:rsidR="009168B3">
        <w:rPr>
          <w:bCs/>
        </w:rPr>
        <w:t>: vállalati hiteltermékek és hitelezés</w:t>
      </w:r>
    </w:p>
    <w:p w14:paraId="44091FB3" w14:textId="6663D5BA" w:rsidR="009168B3" w:rsidRDefault="009168B3" w:rsidP="001C1527">
      <w:pPr>
        <w:ind w:left="10"/>
        <w:rPr>
          <w:bCs/>
        </w:rPr>
      </w:pPr>
      <w:r>
        <w:rPr>
          <w:bCs/>
        </w:rPr>
        <w:t xml:space="preserve">5. hét: Hitelezési tevékenység: lakossági hitelezés és </w:t>
      </w:r>
      <w:proofErr w:type="spellStart"/>
      <w:r>
        <w:rPr>
          <w:bCs/>
        </w:rPr>
        <w:t>hiteladminiszráció</w:t>
      </w:r>
      <w:proofErr w:type="spellEnd"/>
    </w:p>
    <w:p w14:paraId="70374609" w14:textId="235C88E3" w:rsidR="009168B3" w:rsidRDefault="009168B3" w:rsidP="001C1527">
      <w:pPr>
        <w:ind w:left="10"/>
        <w:rPr>
          <w:bCs/>
        </w:rPr>
      </w:pPr>
      <w:r>
        <w:rPr>
          <w:bCs/>
        </w:rPr>
        <w:t>6. hét: Követeléskezelés: hitelek átstrukturálása és behajtása – Vállalati hitelek követeléskezelése</w:t>
      </w:r>
    </w:p>
    <w:p w14:paraId="64ED7D9B" w14:textId="513FFBAC" w:rsidR="009168B3" w:rsidRPr="0087478E" w:rsidRDefault="009168B3" w:rsidP="001C1527">
      <w:pPr>
        <w:ind w:left="10"/>
        <w:rPr>
          <w:bCs/>
        </w:rPr>
      </w:pPr>
      <w:r>
        <w:rPr>
          <w:bCs/>
        </w:rPr>
        <w:t xml:space="preserve">7. hét: Követeléskezelés: hitelek átstrukturálása és behajtása – Lakossági hitelek követeléskezelése </w:t>
      </w:r>
    </w:p>
    <w:p w14:paraId="7F0EE22F" w14:textId="0049F661" w:rsidR="001C1527" w:rsidRPr="0087478E" w:rsidRDefault="009168B3" w:rsidP="00211CAF">
      <w:pPr>
        <w:rPr>
          <w:bCs/>
        </w:rPr>
      </w:pPr>
      <w:r>
        <w:rPr>
          <w:bCs/>
        </w:rPr>
        <w:t>8</w:t>
      </w:r>
      <w:r w:rsidR="00F6347E">
        <w:rPr>
          <w:bCs/>
        </w:rPr>
        <w:t>. hét</w:t>
      </w:r>
      <w:r w:rsidR="00211CAF">
        <w:rPr>
          <w:bCs/>
        </w:rPr>
        <w:t>:</w:t>
      </w:r>
      <w:r w:rsidR="00F6347E">
        <w:rPr>
          <w:bCs/>
        </w:rPr>
        <w:t xml:space="preserve"> Forrásgyűjtés és befektetési szolgáltatás</w:t>
      </w:r>
    </w:p>
    <w:p w14:paraId="7908111E" w14:textId="5F3D5DCA" w:rsidR="001C1527" w:rsidRDefault="009168B3" w:rsidP="001C1527">
      <w:pPr>
        <w:ind w:left="10"/>
        <w:rPr>
          <w:bCs/>
        </w:rPr>
      </w:pPr>
      <w:r>
        <w:rPr>
          <w:bCs/>
        </w:rPr>
        <w:t>9</w:t>
      </w:r>
      <w:r w:rsidR="00F6347E">
        <w:rPr>
          <w:bCs/>
        </w:rPr>
        <w:t>.</w:t>
      </w:r>
      <w:r w:rsidR="00F6347E" w:rsidRPr="0087478E">
        <w:rPr>
          <w:bCs/>
        </w:rPr>
        <w:t xml:space="preserve"> </w:t>
      </w:r>
      <w:r w:rsidR="00F6347E">
        <w:rPr>
          <w:bCs/>
        </w:rPr>
        <w:t xml:space="preserve">hét: </w:t>
      </w:r>
      <w:proofErr w:type="spellStart"/>
      <w:r w:rsidR="00F6347E">
        <w:rPr>
          <w:bCs/>
        </w:rPr>
        <w:t>Treasury</w:t>
      </w:r>
      <w:proofErr w:type="spellEnd"/>
      <w:r w:rsidR="00F6347E">
        <w:rPr>
          <w:bCs/>
        </w:rPr>
        <w:t>, eszköz-forrás menedzsment</w:t>
      </w:r>
    </w:p>
    <w:p w14:paraId="7036451A" w14:textId="58D19D23" w:rsidR="00211CAF" w:rsidRDefault="009168B3" w:rsidP="001C1527">
      <w:pPr>
        <w:ind w:left="10"/>
        <w:rPr>
          <w:bCs/>
        </w:rPr>
      </w:pPr>
      <w:r>
        <w:rPr>
          <w:bCs/>
        </w:rPr>
        <w:t>10</w:t>
      </w:r>
      <w:r w:rsidR="00F6347E">
        <w:rPr>
          <w:bCs/>
        </w:rPr>
        <w:t>. hét</w:t>
      </w:r>
      <w:r w:rsidR="00211CAF">
        <w:rPr>
          <w:bCs/>
        </w:rPr>
        <w:t>:</w:t>
      </w:r>
      <w:r w:rsidR="00F6347E">
        <w:rPr>
          <w:bCs/>
        </w:rPr>
        <w:t xml:space="preserve"> Pénz- és fizetési forgalom, bankszámlavezetés</w:t>
      </w:r>
    </w:p>
    <w:p w14:paraId="6D05F991" w14:textId="4099D812" w:rsidR="00211CAF" w:rsidRDefault="009168B3" w:rsidP="001C1527">
      <w:pPr>
        <w:ind w:left="10"/>
        <w:rPr>
          <w:bCs/>
        </w:rPr>
      </w:pPr>
      <w:r>
        <w:rPr>
          <w:bCs/>
        </w:rPr>
        <w:t>11</w:t>
      </w:r>
      <w:r w:rsidR="00F6347E">
        <w:rPr>
          <w:bCs/>
        </w:rPr>
        <w:t>. hét</w:t>
      </w:r>
      <w:r w:rsidR="00211CAF">
        <w:rPr>
          <w:bCs/>
        </w:rPr>
        <w:t>:</w:t>
      </w:r>
      <w:r w:rsidR="00F6347E">
        <w:rPr>
          <w:bCs/>
        </w:rPr>
        <w:t xml:space="preserve"> Banki központi tevékenységek</w:t>
      </w:r>
      <w:r>
        <w:rPr>
          <w:bCs/>
        </w:rPr>
        <w:t xml:space="preserve">: számvitel, pénzügy, kontrolling, </w:t>
      </w:r>
      <w:proofErr w:type="spellStart"/>
      <w:r>
        <w:rPr>
          <w:bCs/>
        </w:rPr>
        <w:t>compliance</w:t>
      </w:r>
      <w:proofErr w:type="spellEnd"/>
    </w:p>
    <w:p w14:paraId="0A3B4958" w14:textId="30E07089" w:rsidR="009168B3" w:rsidRDefault="009168B3" w:rsidP="001C1527">
      <w:pPr>
        <w:ind w:left="10"/>
        <w:rPr>
          <w:bCs/>
        </w:rPr>
      </w:pPr>
      <w:r>
        <w:rPr>
          <w:bCs/>
        </w:rPr>
        <w:t>12. hét: Banki központi tevékenységek: termék- és értékesítés-menedzsment, projektmenedzsment, bankinformatika, bankbiztonság, jogi terület</w:t>
      </w:r>
    </w:p>
    <w:p w14:paraId="5596D34F" w14:textId="0D19A4C7" w:rsidR="00211CAF" w:rsidRDefault="009168B3" w:rsidP="001C1527">
      <w:pPr>
        <w:ind w:left="10"/>
        <w:rPr>
          <w:bCs/>
        </w:rPr>
      </w:pPr>
      <w:r>
        <w:rPr>
          <w:bCs/>
        </w:rPr>
        <w:t>13</w:t>
      </w:r>
      <w:r w:rsidR="00211CAF">
        <w:rPr>
          <w:bCs/>
        </w:rPr>
        <w:t>. hét:</w:t>
      </w:r>
      <w:r w:rsidR="00F6347E">
        <w:rPr>
          <w:bCs/>
        </w:rPr>
        <w:t xml:space="preserve"> Belső ellenőrzési szervezet</w:t>
      </w:r>
    </w:p>
    <w:p w14:paraId="5A31B77D" w14:textId="5F704B21" w:rsidR="00211CAF" w:rsidRPr="0087478E" w:rsidRDefault="009168B3" w:rsidP="001C1527">
      <w:pPr>
        <w:ind w:left="10"/>
        <w:rPr>
          <w:bCs/>
        </w:rPr>
      </w:pPr>
      <w:r>
        <w:rPr>
          <w:bCs/>
        </w:rPr>
        <w:t>14</w:t>
      </w:r>
      <w:r w:rsidR="00211CAF">
        <w:rPr>
          <w:bCs/>
        </w:rPr>
        <w:t xml:space="preserve">. hét: </w:t>
      </w:r>
      <w:r w:rsidR="00F6347E">
        <w:rPr>
          <w:bCs/>
        </w:rPr>
        <w:t xml:space="preserve">Összegzés, összefoglalás </w:t>
      </w:r>
    </w:p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3BF1B7F6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211CAF">
        <w:t>gyakorlati jegy</w:t>
      </w:r>
      <w:r w:rsidR="00211CAF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606E6180" w14:textId="1AAF96E7" w:rsidR="009638AC" w:rsidRDefault="00AD2140" w:rsidP="00211CAF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</w:p>
    <w:p w14:paraId="5D3CD456" w14:textId="77777777" w:rsidR="00211CAF" w:rsidRDefault="00211CAF" w:rsidP="00211CAF">
      <w:pPr>
        <w:jc w:val="both"/>
        <w:rPr>
          <w:b/>
        </w:rPr>
      </w:pPr>
    </w:p>
    <w:p w14:paraId="6488DFBD" w14:textId="36AE7447" w:rsidR="00211CAF" w:rsidRPr="00211CAF" w:rsidRDefault="00211CAF" w:rsidP="00211CAF">
      <w:pPr>
        <w:jc w:val="both"/>
        <w:rPr>
          <w:i/>
          <w:color w:val="0070C0"/>
        </w:rPr>
      </w:pPr>
      <w:r w:rsidRPr="00211CAF">
        <w:t>Gyakorlati munka és kettő darab zárthelyi dolgozat.</w:t>
      </w:r>
      <w:r w:rsidR="00F6347E">
        <w:t xml:space="preserve"> A dolgozatok megírásának időpontja a későbbiekben kerül kialakításra.</w:t>
      </w:r>
    </w:p>
    <w:bookmarkEnd w:id="0"/>
    <w:p w14:paraId="5C5CB14E" w14:textId="77777777" w:rsidR="0076368B" w:rsidRDefault="0076368B" w:rsidP="009638AC">
      <w:pPr>
        <w:rPr>
          <w:b/>
          <w:bCs/>
          <w:i/>
        </w:rPr>
      </w:pPr>
    </w:p>
    <w:p w14:paraId="4D6A074A" w14:textId="29271BA7"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51BBFA8D" w14:textId="77777777" w:rsidR="00AA168C" w:rsidRDefault="00AA168C" w:rsidP="008462E7">
      <w:pPr>
        <w:contextualSpacing/>
        <w:jc w:val="both"/>
        <w:rPr>
          <w:b/>
          <w:bCs/>
        </w:rPr>
      </w:pPr>
    </w:p>
    <w:p w14:paraId="731848A2" w14:textId="7B8BF0FE" w:rsidR="00211CAF" w:rsidRDefault="00211CAF" w:rsidP="00211CAF">
      <w:pPr>
        <w:jc w:val="both"/>
      </w:pPr>
      <w:r w:rsidRPr="00211CAF">
        <w:t xml:space="preserve">A félévközi két zárthelyi dolgozat egyenként min. 51%-os teljesítése. A két dolgozat értéke a végső gyakorlati jegyből 40-40%. Az előadásokon a hallgatók folyamatos rendelkezésre állására és a kiadott feladatok, prezentációk elvégzésére van szükség. A folyamatos féléves munka 20%-ban számít bele a gyakorlati jegybe. </w:t>
      </w:r>
      <w:r w:rsidR="00F6347E">
        <w:t xml:space="preserve">Ebben az esetben is minimum 51%-os teljesítményt kell elérni. </w:t>
      </w:r>
    </w:p>
    <w:p w14:paraId="1D77B186" w14:textId="77777777" w:rsidR="00874EB9" w:rsidRDefault="00874EB9" w:rsidP="00211CAF">
      <w:pPr>
        <w:jc w:val="both"/>
      </w:pPr>
    </w:p>
    <w:p w14:paraId="13E21B4D" w14:textId="77777777" w:rsidR="00874EB9" w:rsidRDefault="00874EB9" w:rsidP="00211CAF">
      <w:pPr>
        <w:jc w:val="both"/>
      </w:pPr>
    </w:p>
    <w:p w14:paraId="73AB682D" w14:textId="77777777" w:rsidR="00211CAF" w:rsidRPr="00681129" w:rsidRDefault="00211CAF" w:rsidP="008462E7">
      <w:pPr>
        <w:contextualSpacing/>
        <w:jc w:val="both"/>
        <w:rPr>
          <w:b/>
          <w:bCs/>
        </w:rPr>
      </w:pPr>
    </w:p>
    <w:p w14:paraId="52C06B7E" w14:textId="77777777" w:rsidR="00B56D8B" w:rsidRDefault="00B56D8B" w:rsidP="00B56D8B">
      <w:pPr>
        <w:rPr>
          <w:b/>
          <w:bCs/>
        </w:rPr>
      </w:pPr>
      <w:r w:rsidRPr="00270BEC">
        <w:rPr>
          <w:b/>
          <w:bCs/>
        </w:rPr>
        <w:lastRenderedPageBreak/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</w:t>
      </w:r>
      <w:bookmarkStart w:id="1" w:name="_GoBack"/>
      <w:bookmarkEnd w:id="1"/>
      <w:r w:rsidRPr="00270BEC">
        <w:rPr>
          <w:b/>
          <w:bCs/>
        </w:rPr>
        <w:t>kításának módja:</w:t>
      </w:r>
    </w:p>
    <w:p w14:paraId="42A92E1E" w14:textId="77777777" w:rsidR="00F6347E" w:rsidRDefault="00F6347E" w:rsidP="00B56D8B">
      <w:pPr>
        <w:rPr>
          <w:b/>
          <w:bCs/>
        </w:rPr>
      </w:pPr>
    </w:p>
    <w:p w14:paraId="6F5B19D3" w14:textId="10634B0C" w:rsidR="00F6347E" w:rsidRPr="00F6347E" w:rsidRDefault="00F6347E" w:rsidP="00B56D8B">
      <w:pPr>
        <w:rPr>
          <w:bCs/>
        </w:rPr>
      </w:pPr>
      <w:r w:rsidRPr="00F6347E">
        <w:rPr>
          <w:bCs/>
        </w:rPr>
        <w:t>A kettő darab zárthelyi dolgozat 40-40%-ot képvisel a gyakorlati jegyből. Mindkét esetben 51%-os minimumteljesítményt kell nyújtani</w:t>
      </w:r>
      <w:r>
        <w:rPr>
          <w:bCs/>
        </w:rPr>
        <w:t xml:space="preserve">. Emellett a félév során a hallgatók folyamatos gyakorlati munkavégzéssel további 20%-ot gyűjthetnek, melynél a minimum követelmény ugyancsak 51%. </w:t>
      </w:r>
    </w:p>
    <w:p w14:paraId="77103F71" w14:textId="77777777" w:rsidR="009638AC" w:rsidRPr="00270BEC" w:rsidRDefault="009638AC" w:rsidP="009638AC">
      <w:pPr>
        <w:ind w:left="360"/>
        <w:jc w:val="both"/>
      </w:pPr>
    </w:p>
    <w:p w14:paraId="5F19F75D" w14:textId="77777777" w:rsidR="009638AC" w:rsidRDefault="009638AC" w:rsidP="009638AC">
      <w:pPr>
        <w:rPr>
          <w:sz w:val="22"/>
          <w:szCs w:val="22"/>
        </w:rPr>
      </w:pPr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1CAF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74EB9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168B3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6347E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Szabolcs</cp:lastModifiedBy>
  <cp:revision>3</cp:revision>
  <dcterms:created xsi:type="dcterms:W3CDTF">2021-02-07T15:50:00Z</dcterms:created>
  <dcterms:modified xsi:type="dcterms:W3CDTF">2021-02-08T10:03:00Z</dcterms:modified>
</cp:coreProperties>
</file>